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3D7A" w14:textId="0E6B3FDF" w:rsidR="00CC4963" w:rsidRPr="00B66B02" w:rsidRDefault="00CC4963">
      <w:pPr>
        <w:pStyle w:val="Heading1"/>
        <w:jc w:val="center"/>
        <w:rPr>
          <w:noProof/>
          <w:sz w:val="22"/>
          <w:szCs w:val="22"/>
        </w:rPr>
      </w:pPr>
      <w:r w:rsidRPr="00B66B02">
        <w:rPr>
          <w:rFonts w:cs="Arial"/>
          <w:noProof/>
          <w:sz w:val="22"/>
          <w:szCs w:val="22"/>
          <w:lang w:eastAsia="es-ES"/>
        </w:rPr>
        <w:drawing>
          <wp:anchor distT="0" distB="0" distL="114300" distR="114300" simplePos="0" relativeHeight="251658242" behindDoc="0" locked="0" layoutInCell="1" allowOverlap="1" wp14:anchorId="437DF4E6" wp14:editId="7AC84EF6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23505" cy="15525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7" t="5455"/>
                    <a:stretch/>
                  </pic:blipFill>
                  <pic:spPr bwMode="auto">
                    <a:xfrm>
                      <a:off x="0" y="0"/>
                      <a:ext cx="77235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C3C84" w14:textId="77777777" w:rsidR="00CC4963" w:rsidRPr="00B66B02" w:rsidRDefault="00CC4963">
      <w:pPr>
        <w:pStyle w:val="Heading1"/>
        <w:jc w:val="center"/>
        <w:rPr>
          <w:noProof/>
          <w:sz w:val="22"/>
          <w:szCs w:val="22"/>
        </w:rPr>
      </w:pPr>
    </w:p>
    <w:p w14:paraId="38CDF6D5" w14:textId="77777777" w:rsidR="00110982" w:rsidRDefault="00110982" w:rsidP="00110982">
      <w:pPr>
        <w:pStyle w:val="Heading1"/>
        <w:jc w:val="center"/>
        <w:rPr>
          <w:noProof/>
          <w:color w:val="002060"/>
          <w:sz w:val="22"/>
          <w:szCs w:val="22"/>
        </w:rPr>
      </w:pPr>
    </w:p>
    <w:p w14:paraId="7D5A6FC4" w14:textId="1FEF4244" w:rsidR="006B1D58" w:rsidRPr="00B66B02" w:rsidRDefault="006B1D58" w:rsidP="00110982">
      <w:pPr>
        <w:pStyle w:val="Heading1"/>
        <w:jc w:val="center"/>
        <w:rPr>
          <w:noProof/>
          <w:color w:val="002060"/>
          <w:sz w:val="30"/>
          <w:szCs w:val="30"/>
        </w:rPr>
      </w:pPr>
      <w:r w:rsidRPr="00B66B02">
        <w:rPr>
          <w:noProof/>
          <w:color w:val="002060"/>
          <w:sz w:val="30"/>
          <w:szCs w:val="30"/>
        </w:rPr>
        <w:t xml:space="preserve">Inter-regional meeting: Takeaways </w:t>
      </w:r>
      <w:r w:rsidR="00A00A6E" w:rsidRPr="00B66B02">
        <w:rPr>
          <w:noProof/>
          <w:color w:val="002060"/>
          <w:sz w:val="30"/>
          <w:szCs w:val="30"/>
        </w:rPr>
        <w:t xml:space="preserve">from </w:t>
      </w:r>
      <w:r w:rsidR="00CC4963" w:rsidRPr="00B66B02">
        <w:rPr>
          <w:noProof/>
          <w:color w:val="002060"/>
          <w:sz w:val="30"/>
          <w:szCs w:val="30"/>
        </w:rPr>
        <w:t xml:space="preserve">ten </w:t>
      </w:r>
      <w:r w:rsidRPr="00B66B02">
        <w:rPr>
          <w:noProof/>
          <w:color w:val="002060"/>
          <w:sz w:val="30"/>
          <w:szCs w:val="30"/>
        </w:rPr>
        <w:t>regional visits</w:t>
      </w:r>
    </w:p>
    <w:p w14:paraId="6831CFD4" w14:textId="0F503CE2" w:rsidR="006B1D58" w:rsidRPr="00B66B02" w:rsidRDefault="006B1D58" w:rsidP="00110982">
      <w:pPr>
        <w:jc w:val="center"/>
        <w:rPr>
          <w:rFonts w:ascii="Arial Narrow" w:hAnsi="Arial Narrow"/>
          <w:b/>
          <w:bCs/>
          <w:noProof/>
          <w:color w:val="002060"/>
          <w:sz w:val="30"/>
          <w:szCs w:val="30"/>
        </w:rPr>
      </w:pPr>
      <w:r w:rsidRPr="00B66B02">
        <w:rPr>
          <w:rFonts w:ascii="Arial Narrow" w:hAnsi="Arial Narrow"/>
          <w:b/>
          <w:bCs/>
          <w:noProof/>
          <w:color w:val="002060"/>
          <w:sz w:val="30"/>
          <w:szCs w:val="30"/>
        </w:rPr>
        <w:t>23-24 May 2024, Chalkida, Evia, Region of Central Greece</w:t>
      </w:r>
    </w:p>
    <w:p w14:paraId="21A806B7" w14:textId="77777777" w:rsidR="00CC4963" w:rsidRPr="00B66B02" w:rsidRDefault="00CC4963" w:rsidP="00CC4963">
      <w:pPr>
        <w:rPr>
          <w:rFonts w:ascii="Arial Narrow" w:hAnsi="Arial Narrow"/>
        </w:rPr>
      </w:pPr>
    </w:p>
    <w:p w14:paraId="24BFFC34" w14:textId="4D877C24" w:rsidR="00CC4963" w:rsidRPr="00110982" w:rsidRDefault="006B1D58" w:rsidP="00C1340F">
      <w:pPr>
        <w:spacing w:after="0"/>
        <w:jc w:val="both"/>
        <w:rPr>
          <w:rFonts w:ascii="Arial Narrow" w:hAnsi="Arial Narrow"/>
          <w:noProof/>
        </w:rPr>
      </w:pPr>
      <w:r w:rsidRPr="00110982">
        <w:rPr>
          <w:rFonts w:ascii="Arial Narrow" w:hAnsi="Arial Narrow"/>
          <w:noProof/>
        </w:rPr>
        <w:t xml:space="preserve">On 23-24 May 2024 in Chalkia, Central Greece, the OECD, in collaboration with DG </w:t>
      </w:r>
      <w:r w:rsidR="00BC482F">
        <w:rPr>
          <w:rFonts w:ascii="Arial Narrow" w:hAnsi="Arial Narrow"/>
          <w:noProof/>
        </w:rPr>
        <w:t>REFORM</w:t>
      </w:r>
      <w:r w:rsidRPr="00110982">
        <w:rPr>
          <w:rFonts w:ascii="Arial Narrow" w:hAnsi="Arial Narrow"/>
          <w:noProof/>
        </w:rPr>
        <w:t xml:space="preserve">, presented </w:t>
      </w:r>
      <w:r w:rsidR="00B577EB" w:rsidRPr="00110982">
        <w:rPr>
          <w:rFonts w:ascii="Arial Narrow" w:hAnsi="Arial Narrow"/>
          <w:noProof/>
        </w:rPr>
        <w:t xml:space="preserve">the </w:t>
      </w:r>
      <w:r w:rsidRPr="00110982">
        <w:rPr>
          <w:rFonts w:ascii="Arial Narrow" w:hAnsi="Arial Narrow"/>
          <w:noProof/>
        </w:rPr>
        <w:t xml:space="preserve">main takeaways </w:t>
      </w:r>
      <w:r w:rsidR="00B577EB" w:rsidRPr="00110982">
        <w:rPr>
          <w:rFonts w:ascii="Arial Narrow" w:hAnsi="Arial Narrow"/>
          <w:noProof/>
        </w:rPr>
        <w:t>from the regional visits for the project “</w:t>
      </w:r>
      <w:hyperlink r:id="rId13" w:history="1">
        <w:r w:rsidR="00B577EB" w:rsidRPr="00110982">
          <w:rPr>
            <w:rStyle w:val="Hyperlink"/>
            <w:rFonts w:ascii="Arial Narrow" w:hAnsi="Arial Narrow"/>
            <w:noProof/>
          </w:rPr>
          <w:t>Enhancing EU Mining Regional Ecosystems to Support the Green Transition and Secure Mineral Raw Materials Supply</w:t>
        </w:r>
      </w:hyperlink>
      <w:r w:rsidR="00B577EB" w:rsidRPr="00110982">
        <w:rPr>
          <w:rFonts w:ascii="Arial Narrow" w:hAnsi="Arial Narrow"/>
          <w:noProof/>
        </w:rPr>
        <w:t xml:space="preserve">.” </w:t>
      </w:r>
    </w:p>
    <w:p w14:paraId="2950406F" w14:textId="77777777" w:rsidR="00CC4963" w:rsidRPr="00110982" w:rsidRDefault="00CC4963" w:rsidP="00C1340F">
      <w:pPr>
        <w:spacing w:after="0"/>
        <w:jc w:val="both"/>
        <w:rPr>
          <w:rFonts w:ascii="Arial Narrow" w:hAnsi="Arial Narrow"/>
          <w:noProof/>
        </w:rPr>
      </w:pPr>
    </w:p>
    <w:p w14:paraId="09582D6F" w14:textId="6762B2A1" w:rsidR="00A860CE" w:rsidRDefault="00A00A6E">
      <w:pPr>
        <w:jc w:val="both"/>
        <w:rPr>
          <w:rFonts w:ascii="Arial Narrow" w:hAnsi="Arial Narrow"/>
        </w:rPr>
      </w:pPr>
      <w:r w:rsidRPr="00110982">
        <w:rPr>
          <w:rFonts w:ascii="Arial Narrow" w:hAnsi="Arial Narrow"/>
          <w:noProof/>
        </w:rPr>
        <w:t xml:space="preserve">The </w:t>
      </w:r>
      <w:r w:rsidR="00B577EB" w:rsidRPr="00110982">
        <w:rPr>
          <w:rFonts w:ascii="Arial Narrow" w:hAnsi="Arial Narrow"/>
          <w:noProof/>
        </w:rPr>
        <w:t xml:space="preserve">meeting was attended by representatives </w:t>
      </w:r>
      <w:r w:rsidR="00CC4963" w:rsidRPr="00110982">
        <w:rPr>
          <w:rFonts w:ascii="Arial Narrow" w:hAnsi="Arial Narrow"/>
          <w:noProof/>
        </w:rPr>
        <w:t xml:space="preserve">from the ten beneficiary </w:t>
      </w:r>
      <w:r w:rsidR="00B577EB" w:rsidRPr="00110982">
        <w:rPr>
          <w:rFonts w:ascii="Arial Narrow" w:hAnsi="Arial Narrow"/>
          <w:noProof/>
        </w:rPr>
        <w:t>regions</w:t>
      </w:r>
      <w:r w:rsidR="00CC4963" w:rsidRPr="00110982">
        <w:rPr>
          <w:rFonts w:ascii="Arial Narrow" w:hAnsi="Arial Narrow"/>
          <w:noProof/>
        </w:rPr>
        <w:t xml:space="preserve">: </w:t>
      </w:r>
      <w:r w:rsidR="00B577EB" w:rsidRPr="00110982">
        <w:rPr>
          <w:rFonts w:ascii="Arial Narrow" w:hAnsi="Arial Narrow"/>
          <w:noProof/>
        </w:rPr>
        <w:t xml:space="preserve">Lapland, </w:t>
      </w:r>
      <w:r w:rsidR="00631F79">
        <w:rPr>
          <w:rFonts w:ascii="Arial Narrow" w:hAnsi="Arial Narrow"/>
          <w:noProof/>
        </w:rPr>
        <w:t>North</w:t>
      </w:r>
      <w:r w:rsidR="00B577EB" w:rsidRPr="00110982">
        <w:rPr>
          <w:rFonts w:ascii="Arial Narrow" w:hAnsi="Arial Narrow"/>
          <w:noProof/>
        </w:rPr>
        <w:t xml:space="preserve"> Karelia, Oulu</w:t>
      </w:r>
      <w:r w:rsidR="009E31AD" w:rsidRPr="00110982">
        <w:rPr>
          <w:rFonts w:ascii="Arial Narrow" w:hAnsi="Arial Narrow"/>
          <w:noProof/>
        </w:rPr>
        <w:t>,</w:t>
      </w:r>
      <w:r w:rsidR="00B577EB" w:rsidRPr="00110982">
        <w:rPr>
          <w:rFonts w:ascii="Arial Narrow" w:hAnsi="Arial Narrow"/>
          <w:noProof/>
        </w:rPr>
        <w:t xml:space="preserve"> Kainuu, and Central Ostrobothnia</w:t>
      </w:r>
      <w:r w:rsidR="00CC4963" w:rsidRPr="00110982">
        <w:rPr>
          <w:rFonts w:ascii="Arial Narrow" w:hAnsi="Arial Narrow"/>
          <w:noProof/>
        </w:rPr>
        <w:t xml:space="preserve"> (</w:t>
      </w:r>
      <w:r w:rsidR="00B577EB" w:rsidRPr="00110982">
        <w:rPr>
          <w:rFonts w:ascii="Arial Narrow" w:hAnsi="Arial Narrow"/>
          <w:noProof/>
        </w:rPr>
        <w:t>Finland</w:t>
      </w:r>
      <w:r w:rsidR="00CC4963" w:rsidRPr="00110982">
        <w:rPr>
          <w:rFonts w:ascii="Arial Narrow" w:hAnsi="Arial Narrow"/>
          <w:noProof/>
        </w:rPr>
        <w:t>)</w:t>
      </w:r>
      <w:r w:rsidR="00B577EB" w:rsidRPr="00110982">
        <w:rPr>
          <w:rFonts w:ascii="Arial Narrow" w:hAnsi="Arial Narrow"/>
          <w:noProof/>
        </w:rPr>
        <w:t>, Region of Central Greece</w:t>
      </w:r>
      <w:r w:rsidR="00CC4963" w:rsidRPr="00110982">
        <w:rPr>
          <w:rFonts w:ascii="Arial Narrow" w:hAnsi="Arial Narrow"/>
          <w:noProof/>
        </w:rPr>
        <w:t xml:space="preserve"> (Greece)</w:t>
      </w:r>
      <w:r w:rsidR="00B577EB" w:rsidRPr="00110982">
        <w:rPr>
          <w:rFonts w:ascii="Arial Narrow" w:hAnsi="Arial Narrow"/>
          <w:noProof/>
        </w:rPr>
        <w:t xml:space="preserve">, Centro Portugal and Alentejo </w:t>
      </w:r>
      <w:r w:rsidR="00CC4963" w:rsidRPr="00110982">
        <w:rPr>
          <w:rFonts w:ascii="Arial Narrow" w:hAnsi="Arial Narrow"/>
          <w:noProof/>
        </w:rPr>
        <w:t>(</w:t>
      </w:r>
      <w:r w:rsidR="00B577EB" w:rsidRPr="00804B7E">
        <w:rPr>
          <w:rFonts w:ascii="Arial Narrow" w:hAnsi="Arial Narrow"/>
          <w:noProof/>
        </w:rPr>
        <w:t>Portugal</w:t>
      </w:r>
      <w:r w:rsidR="00CC4963" w:rsidRPr="00804B7E">
        <w:rPr>
          <w:rFonts w:ascii="Arial Narrow" w:hAnsi="Arial Narrow"/>
          <w:noProof/>
        </w:rPr>
        <w:t>)</w:t>
      </w:r>
      <w:r w:rsidR="00B577EB" w:rsidRPr="00804B7E">
        <w:rPr>
          <w:rFonts w:ascii="Arial Narrow" w:hAnsi="Arial Narrow"/>
          <w:noProof/>
        </w:rPr>
        <w:t xml:space="preserve">, Andalusia </w:t>
      </w:r>
      <w:r w:rsidR="00CC4963" w:rsidRPr="00804B7E">
        <w:rPr>
          <w:rFonts w:ascii="Arial Narrow" w:hAnsi="Arial Narrow"/>
          <w:noProof/>
        </w:rPr>
        <w:t>(</w:t>
      </w:r>
      <w:r w:rsidR="00B577EB" w:rsidRPr="00804B7E">
        <w:rPr>
          <w:rFonts w:ascii="Arial Narrow" w:hAnsi="Arial Narrow"/>
          <w:noProof/>
        </w:rPr>
        <w:t>Spain</w:t>
      </w:r>
      <w:r w:rsidR="00CC4963" w:rsidRPr="00804B7E">
        <w:rPr>
          <w:rFonts w:ascii="Arial Narrow" w:hAnsi="Arial Narrow"/>
          <w:noProof/>
        </w:rPr>
        <w:t>)</w:t>
      </w:r>
      <w:r w:rsidR="00B577EB" w:rsidRPr="00804B7E">
        <w:rPr>
          <w:rFonts w:ascii="Arial Narrow" w:hAnsi="Arial Narrow"/>
          <w:noProof/>
        </w:rPr>
        <w:t>,</w:t>
      </w:r>
      <w:r w:rsidR="009E31AD" w:rsidRPr="00804B7E">
        <w:rPr>
          <w:rFonts w:ascii="Arial Narrow" w:hAnsi="Arial Narrow"/>
          <w:noProof/>
        </w:rPr>
        <w:t xml:space="preserve"> and</w:t>
      </w:r>
      <w:r w:rsidR="00B577EB" w:rsidRPr="00804B7E">
        <w:rPr>
          <w:rFonts w:ascii="Arial Narrow" w:hAnsi="Arial Narrow"/>
          <w:noProof/>
        </w:rPr>
        <w:t xml:space="preserve"> </w:t>
      </w:r>
      <w:proofErr w:type="spellStart"/>
      <w:r w:rsidR="00B577EB" w:rsidRPr="00804B7E">
        <w:rPr>
          <w:rFonts w:ascii="Arial Narrow" w:hAnsi="Arial Narrow"/>
        </w:rPr>
        <w:t>Örebro</w:t>
      </w:r>
      <w:proofErr w:type="spellEnd"/>
      <w:r w:rsidR="00B577EB" w:rsidRPr="00804B7E">
        <w:rPr>
          <w:rFonts w:ascii="Arial Narrow" w:hAnsi="Arial Narrow"/>
        </w:rPr>
        <w:t xml:space="preserve"> </w:t>
      </w:r>
      <w:r w:rsidR="00CC4963" w:rsidRPr="00804B7E">
        <w:rPr>
          <w:rFonts w:ascii="Arial Narrow" w:hAnsi="Arial Narrow"/>
        </w:rPr>
        <w:t>(</w:t>
      </w:r>
      <w:r w:rsidR="00B577EB" w:rsidRPr="00804B7E">
        <w:rPr>
          <w:rFonts w:ascii="Arial Narrow" w:hAnsi="Arial Narrow"/>
        </w:rPr>
        <w:t>Sweden</w:t>
      </w:r>
      <w:r w:rsidR="00CC4963" w:rsidRPr="00804B7E">
        <w:rPr>
          <w:rFonts w:ascii="Arial Narrow" w:hAnsi="Arial Narrow"/>
        </w:rPr>
        <w:t>)</w:t>
      </w:r>
      <w:r w:rsidR="00B577EB" w:rsidRPr="00804B7E">
        <w:rPr>
          <w:rFonts w:ascii="Arial Narrow" w:hAnsi="Arial Narrow"/>
        </w:rPr>
        <w:t>.</w:t>
      </w:r>
      <w:r w:rsidR="00CC4963" w:rsidRPr="00804B7E">
        <w:rPr>
          <w:rFonts w:ascii="Arial Narrow" w:hAnsi="Arial Narrow"/>
        </w:rPr>
        <w:t xml:space="preserve"> </w:t>
      </w:r>
      <w:r w:rsidR="00B577EB" w:rsidRPr="00804B7E">
        <w:rPr>
          <w:rFonts w:ascii="Arial Narrow" w:hAnsi="Arial Narrow"/>
        </w:rPr>
        <w:t xml:space="preserve">30 participants attended </w:t>
      </w:r>
      <w:r w:rsidR="00CC4963" w:rsidRPr="00804B7E">
        <w:rPr>
          <w:rFonts w:ascii="Arial Narrow" w:hAnsi="Arial Narrow"/>
        </w:rPr>
        <w:t xml:space="preserve">the meeting </w:t>
      </w:r>
      <w:r w:rsidR="00B577EB" w:rsidRPr="00804B7E">
        <w:rPr>
          <w:rFonts w:ascii="Arial Narrow" w:hAnsi="Arial Narrow"/>
        </w:rPr>
        <w:t>in</w:t>
      </w:r>
      <w:r w:rsidR="00CC4963" w:rsidRPr="00804B7E">
        <w:rPr>
          <w:rFonts w:ascii="Arial Narrow" w:hAnsi="Arial Narrow"/>
        </w:rPr>
        <w:t>-</w:t>
      </w:r>
      <w:r w:rsidR="00B577EB" w:rsidRPr="00804B7E">
        <w:rPr>
          <w:rFonts w:ascii="Arial Narrow" w:hAnsi="Arial Narrow"/>
        </w:rPr>
        <w:t>person</w:t>
      </w:r>
      <w:r w:rsidR="00CC4963" w:rsidRPr="00804B7E">
        <w:rPr>
          <w:rFonts w:ascii="Arial Narrow" w:hAnsi="Arial Narrow"/>
        </w:rPr>
        <w:t xml:space="preserve">, including representatives from </w:t>
      </w:r>
      <w:r w:rsidRPr="00804B7E">
        <w:rPr>
          <w:rFonts w:ascii="Arial Narrow" w:hAnsi="Arial Narrow"/>
        </w:rPr>
        <w:t xml:space="preserve">the </w:t>
      </w:r>
      <w:r w:rsidR="00CC4963" w:rsidRPr="00804B7E">
        <w:rPr>
          <w:rFonts w:ascii="Arial Narrow" w:hAnsi="Arial Narrow"/>
        </w:rPr>
        <w:t>private sector and local governments in Central Greece,</w:t>
      </w:r>
      <w:r w:rsidR="00B577EB" w:rsidRPr="00804B7E">
        <w:rPr>
          <w:rFonts w:ascii="Arial Narrow" w:hAnsi="Arial Narrow"/>
        </w:rPr>
        <w:t xml:space="preserve"> and </w:t>
      </w:r>
      <w:r w:rsidRPr="00804B7E">
        <w:rPr>
          <w:rFonts w:ascii="Arial Narrow" w:hAnsi="Arial Narrow"/>
        </w:rPr>
        <w:t xml:space="preserve">a further </w:t>
      </w:r>
      <w:r w:rsidR="00CC4963" w:rsidRPr="00804B7E">
        <w:rPr>
          <w:rFonts w:ascii="Arial Narrow" w:hAnsi="Arial Narrow"/>
        </w:rPr>
        <w:t xml:space="preserve">25 people </w:t>
      </w:r>
      <w:r w:rsidRPr="00804B7E">
        <w:rPr>
          <w:rFonts w:ascii="Arial Narrow" w:hAnsi="Arial Narrow"/>
        </w:rPr>
        <w:t xml:space="preserve">joined </w:t>
      </w:r>
      <w:r w:rsidR="00CC4963" w:rsidRPr="00804B7E">
        <w:rPr>
          <w:rFonts w:ascii="Arial Narrow" w:hAnsi="Arial Narrow"/>
        </w:rPr>
        <w:t>on</w:t>
      </w:r>
      <w:r w:rsidR="00B577EB" w:rsidRPr="00804B7E">
        <w:rPr>
          <w:rFonts w:ascii="Arial Narrow" w:hAnsi="Arial Narrow"/>
        </w:rPr>
        <w:t>l</w:t>
      </w:r>
      <w:r w:rsidR="00A860CE" w:rsidRPr="00804B7E">
        <w:rPr>
          <w:rFonts w:ascii="Arial Narrow" w:hAnsi="Arial Narrow"/>
        </w:rPr>
        <w:t>ine</w:t>
      </w:r>
      <w:r w:rsidR="00804B7E" w:rsidRPr="00804B7E">
        <w:rPr>
          <w:rFonts w:ascii="Arial Narrow" w:hAnsi="Arial Narrow"/>
        </w:rPr>
        <w:t xml:space="preserve">. </w:t>
      </w:r>
      <w:r w:rsidR="00804B7E">
        <w:rPr>
          <w:rStyle w:val="ui-provider"/>
          <w:rFonts w:ascii="Arial Narrow" w:hAnsi="Arial Narrow"/>
        </w:rPr>
        <w:t>The</w:t>
      </w:r>
      <w:r w:rsidR="00804B7E" w:rsidRPr="00804B7E">
        <w:rPr>
          <w:rStyle w:val="ui-provider"/>
          <w:rFonts w:ascii="Arial Narrow" w:hAnsi="Arial Narrow"/>
        </w:rPr>
        <w:t xml:space="preserve"> event also included a visit to the </w:t>
      </w:r>
      <w:proofErr w:type="spellStart"/>
      <w:r w:rsidR="00631F79">
        <w:rPr>
          <w:rStyle w:val="ui-provider"/>
          <w:rFonts w:ascii="Arial Narrow" w:hAnsi="Arial Narrow"/>
        </w:rPr>
        <w:t>Mytilineos</w:t>
      </w:r>
      <w:proofErr w:type="spellEnd"/>
      <w:r w:rsidR="00804B7E" w:rsidRPr="00804B7E">
        <w:rPr>
          <w:rStyle w:val="ui-provider"/>
          <w:rFonts w:ascii="Arial Narrow" w:hAnsi="Arial Narrow"/>
        </w:rPr>
        <w:t xml:space="preserve"> processing plant, the first producer of Bauxite and Alumina in EU</w:t>
      </w:r>
      <w:r w:rsidR="00804B7E">
        <w:rPr>
          <w:rStyle w:val="ui-provider"/>
          <w:rFonts w:ascii="Arial Narrow" w:hAnsi="Arial Narrow"/>
        </w:rPr>
        <w:t>.</w:t>
      </w:r>
    </w:p>
    <w:p w14:paraId="3443BB03" w14:textId="3AFD5F3B" w:rsidR="00A860CE" w:rsidRDefault="00A860CE">
      <w:pPr>
        <w:jc w:val="both"/>
        <w:rPr>
          <w:rFonts w:ascii="Arial Narrow" w:hAnsi="Arial Narrow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3DC8C5" wp14:editId="1837AF29">
                <wp:simplePos x="0" y="0"/>
                <wp:positionH relativeFrom="column">
                  <wp:posOffset>2193010</wp:posOffset>
                </wp:positionH>
                <wp:positionV relativeFrom="paragraph">
                  <wp:posOffset>-2777</wp:posOffset>
                </wp:positionV>
                <wp:extent cx="1596325" cy="340963"/>
                <wp:effectExtent l="0" t="0" r="17145" b="15240"/>
                <wp:wrapNone/>
                <wp:docPr id="788008019" name="Rectangle: Rounded Corners 788008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25" cy="34096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86958" w14:textId="25D5BC81" w:rsidR="00A860CE" w:rsidRPr="00950BE1" w:rsidRDefault="00A860CE" w:rsidP="00A860CE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950BE1">
                              <w:fldChar w:fldCharType="begin"/>
                            </w:r>
                            <w:r>
                              <w:instrText>HYPERLINK "https://www.slideshare.net/slideshow/agenda_inter-regional-meeting_-missions-takeaways_-oecd_dg-reformenhancing-eu-mining-regions_23-24-may-pdf/269368018"</w:instrText>
                            </w:r>
                            <w:r w:rsidRPr="00950BE1">
                              <w:fldChar w:fldCharType="separate"/>
                            </w:r>
                            <w:r w:rsidR="00950BE1" w:rsidRPr="00950BE1">
                              <w:rPr>
                                <w:rStyle w:val="Hyperlink"/>
                                <w:rFonts w:ascii="Arial Narrow" w:hAnsi="Arial Narrow"/>
                                <w:noProof/>
                                <w:color w:val="4472C4" w:themeColor="accent1"/>
                              </w:rPr>
                              <w:t>A</w:t>
                            </w:r>
                            <w:r w:rsidRPr="00950BE1">
                              <w:rPr>
                                <w:rStyle w:val="Hyperlink"/>
                                <w:rFonts w:ascii="Arial Narrow" w:hAnsi="Arial Narrow"/>
                                <w:noProof/>
                                <w:color w:val="4472C4" w:themeColor="accent1"/>
                              </w:rPr>
                              <w:t>genda available here</w:t>
                            </w:r>
                            <w:r w:rsidRPr="00950BE1">
                              <w:rPr>
                                <w:rStyle w:val="Hyperlink"/>
                                <w:rFonts w:ascii="Arial Narrow" w:hAnsi="Arial Narrow"/>
                                <w:noProof/>
                                <w:color w:val="4472C4" w:themeColor="accent1"/>
                              </w:rPr>
                              <w:fldChar w:fldCharType="end"/>
                            </w:r>
                          </w:p>
                          <w:p w14:paraId="5C38E874" w14:textId="77777777" w:rsidR="00A860CE" w:rsidRPr="00950BE1" w:rsidRDefault="00A860CE" w:rsidP="00A860CE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DC8C5" id="Rectangle: Rounded Corners 788008019" o:spid="_x0000_s1026" style="position:absolute;left:0;text-align:left;margin-left:172.7pt;margin-top:-.2pt;width:125.7pt;height:26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" fillcolor="#d9e2f3 [660]" strokecolor="#d9e2f3 [660]" strokeweight="1pt">
                <v:stroke joinstyle="miter"/>
                <v:textbox>
                  <w:txbxContent>
                    <w:p w14:paraId="75986958" w14:textId="25D5BC81" w:rsidR="00A860CE" w:rsidRPr="00950BE1" w:rsidRDefault="00A860CE" w:rsidP="00A860CE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950BE1">
                        <w:fldChar w:fldCharType="begin"/>
                      </w:r>
                      <w:r>
                        <w:instrText>HYPERLINK "https://www.slideshare.net/slideshow/agenda_inter-regional-meeting_-missions-takeaways_-oecd_dg-reformenhancing-eu-mining-regions_23-24-may-pdf/269368018"</w:instrText>
                      </w:r>
                      <w:r w:rsidRPr="00950BE1">
                        <w:fldChar w:fldCharType="separate"/>
                      </w:r>
                      <w:r w:rsidR="00950BE1" w:rsidRPr="00950BE1">
                        <w:rPr>
                          <w:rStyle w:val="Hyperlink"/>
                          <w:rFonts w:ascii="Arial Narrow" w:hAnsi="Arial Narrow"/>
                          <w:noProof/>
                          <w:color w:val="4472C4" w:themeColor="accent1"/>
                        </w:rPr>
                        <w:t>A</w:t>
                      </w:r>
                      <w:r w:rsidRPr="00950BE1">
                        <w:rPr>
                          <w:rStyle w:val="Hyperlink"/>
                          <w:rFonts w:ascii="Arial Narrow" w:hAnsi="Arial Narrow"/>
                          <w:noProof/>
                          <w:color w:val="4472C4" w:themeColor="accent1"/>
                        </w:rPr>
                        <w:t>genda available here</w:t>
                      </w:r>
                      <w:r w:rsidRPr="00950BE1">
                        <w:rPr>
                          <w:rStyle w:val="Hyperlink"/>
                          <w:rFonts w:ascii="Arial Narrow" w:hAnsi="Arial Narrow"/>
                          <w:noProof/>
                          <w:color w:val="4472C4" w:themeColor="accent1"/>
                        </w:rPr>
                        <w:fldChar w:fldCharType="end"/>
                      </w:r>
                    </w:p>
                    <w:p w14:paraId="5C38E874" w14:textId="77777777" w:rsidR="00A860CE" w:rsidRPr="00950BE1" w:rsidRDefault="00A860CE" w:rsidP="00A860CE">
                      <w:pPr>
                        <w:jc w:val="center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DD3A07" w14:textId="77777777" w:rsidR="00A860CE" w:rsidRDefault="00A860CE">
      <w:pPr>
        <w:jc w:val="both"/>
        <w:rPr>
          <w:rFonts w:ascii="Arial Narrow" w:hAnsi="Arial Narrow"/>
        </w:rPr>
      </w:pPr>
    </w:p>
    <w:p w14:paraId="2A00B5AF" w14:textId="09C9BFA2" w:rsidR="00A860CE" w:rsidRDefault="00B577EB">
      <w:pPr>
        <w:jc w:val="both"/>
        <w:rPr>
          <w:rFonts w:ascii="Arial Narrow" w:hAnsi="Arial Narrow"/>
        </w:rPr>
      </w:pPr>
      <w:r w:rsidRPr="00110982">
        <w:rPr>
          <w:rFonts w:ascii="Arial Narrow" w:hAnsi="Arial Narrow"/>
        </w:rPr>
        <w:t xml:space="preserve">The event </w:t>
      </w:r>
      <w:r w:rsidR="00CC4963" w:rsidRPr="00110982">
        <w:rPr>
          <w:rFonts w:ascii="Arial Narrow" w:hAnsi="Arial Narrow"/>
        </w:rPr>
        <w:t>presented</w:t>
      </w:r>
      <w:r w:rsidR="00C1340F" w:rsidRPr="00110982">
        <w:rPr>
          <w:rFonts w:ascii="Arial Narrow" w:hAnsi="Arial Narrow"/>
        </w:rPr>
        <w:t xml:space="preserve"> the main findings of the </w:t>
      </w:r>
      <w:r w:rsidR="00CC4963" w:rsidRPr="00110982">
        <w:rPr>
          <w:rFonts w:ascii="Arial Narrow" w:hAnsi="Arial Narrow"/>
        </w:rPr>
        <w:t>ten</w:t>
      </w:r>
      <w:r w:rsidR="00C1340F" w:rsidRPr="00110982">
        <w:rPr>
          <w:rFonts w:ascii="Arial Narrow" w:hAnsi="Arial Narrow"/>
        </w:rPr>
        <w:t xml:space="preserve"> field </w:t>
      </w:r>
      <w:r w:rsidR="00CC4963" w:rsidRPr="00110982">
        <w:rPr>
          <w:rFonts w:ascii="Arial Narrow" w:hAnsi="Arial Narrow"/>
        </w:rPr>
        <w:t>visits</w:t>
      </w:r>
      <w:r w:rsidR="00C1340F" w:rsidRPr="00110982">
        <w:rPr>
          <w:rFonts w:ascii="Arial Narrow" w:hAnsi="Arial Narrow"/>
        </w:rPr>
        <w:t xml:space="preserve"> carried out during the last 8 months across all </w:t>
      </w:r>
      <w:r w:rsidR="00454C04">
        <w:rPr>
          <w:rFonts w:ascii="Arial Narrow" w:hAnsi="Arial Narrow"/>
        </w:rPr>
        <w:t>regions</w:t>
      </w:r>
      <w:r w:rsidR="00A860CE">
        <w:rPr>
          <w:rFonts w:ascii="Arial Narrow" w:hAnsi="Arial Narrow"/>
        </w:rPr>
        <w:t>. T</w:t>
      </w:r>
      <w:r w:rsidR="00454C04">
        <w:rPr>
          <w:rFonts w:ascii="Arial Narrow" w:hAnsi="Arial Narrow"/>
        </w:rPr>
        <w:t>he</w:t>
      </w:r>
      <w:r w:rsidR="00CC4963" w:rsidRPr="00110982">
        <w:rPr>
          <w:rFonts w:ascii="Arial Narrow" w:hAnsi="Arial Narrow"/>
        </w:rPr>
        <w:t xml:space="preserve"> common regional priorities </w:t>
      </w:r>
      <w:r w:rsidR="00A860CE">
        <w:rPr>
          <w:rFonts w:ascii="Arial Narrow" w:hAnsi="Arial Narrow"/>
        </w:rPr>
        <w:t>highlighted through these field visits include:</w:t>
      </w:r>
    </w:p>
    <w:p w14:paraId="56749771" w14:textId="19002D00" w:rsidR="00A860CE" w:rsidRDefault="00A860CE" w:rsidP="00A860CE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CC4963" w:rsidRPr="00A860CE">
        <w:rPr>
          <w:rFonts w:ascii="Arial Narrow" w:hAnsi="Arial Narrow"/>
        </w:rPr>
        <w:t>ining governance and community engagement</w:t>
      </w:r>
    </w:p>
    <w:p w14:paraId="48FEEDEA" w14:textId="68AABFA5" w:rsidR="00A860CE" w:rsidRDefault="00A860CE" w:rsidP="00A860CE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CC4963" w:rsidRPr="00A860CE">
        <w:rPr>
          <w:rFonts w:ascii="Arial Narrow" w:hAnsi="Arial Narrow"/>
        </w:rPr>
        <w:t>nvironmental considerations</w:t>
      </w:r>
    </w:p>
    <w:p w14:paraId="0FDB961F" w14:textId="1339DE94" w:rsidR="00A860CE" w:rsidRDefault="00A860CE" w:rsidP="00A860CE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CC4963" w:rsidRPr="00A860CE">
        <w:rPr>
          <w:rFonts w:ascii="Arial Narrow" w:hAnsi="Arial Narrow"/>
        </w:rPr>
        <w:t>kills and employment</w:t>
      </w:r>
    </w:p>
    <w:p w14:paraId="47F17F8F" w14:textId="1F14FD60" w:rsidR="00A860CE" w:rsidRDefault="00A860CE" w:rsidP="00A860CE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CC4963" w:rsidRPr="00A860CE">
        <w:rPr>
          <w:rFonts w:ascii="Arial Narrow" w:hAnsi="Arial Narrow"/>
        </w:rPr>
        <w:t xml:space="preserve">nnovation and circularity </w:t>
      </w:r>
    </w:p>
    <w:p w14:paraId="66328B4B" w14:textId="7B74813D" w:rsidR="00454C04" w:rsidRPr="00A860CE" w:rsidRDefault="00A860CE" w:rsidP="00A860CE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CC4963" w:rsidRPr="00A860CE">
        <w:rPr>
          <w:rFonts w:ascii="Arial Narrow" w:hAnsi="Arial Narrow"/>
        </w:rPr>
        <w:t xml:space="preserve">nfrastructure. </w:t>
      </w:r>
    </w:p>
    <w:p w14:paraId="5F4809D0" w14:textId="5276E3D7" w:rsidR="00CC4963" w:rsidRPr="00110982" w:rsidRDefault="00D5168A">
      <w:pPr>
        <w:jc w:val="both"/>
        <w:rPr>
          <w:rFonts w:ascii="Arial Narrow" w:hAnsi="Arial Narrow"/>
        </w:rPr>
      </w:pPr>
      <w:r w:rsidRPr="00A860CE">
        <w:rPr>
          <w:noProof/>
        </w:rPr>
        <w:drawing>
          <wp:anchor distT="0" distB="0" distL="114300" distR="114300" simplePos="0" relativeHeight="251658241" behindDoc="0" locked="0" layoutInCell="1" allowOverlap="1" wp14:anchorId="06E702A2" wp14:editId="4E945558">
            <wp:simplePos x="0" y="0"/>
            <wp:positionH relativeFrom="page">
              <wp:posOffset>1190625</wp:posOffset>
            </wp:positionH>
            <wp:positionV relativeFrom="paragraph">
              <wp:posOffset>773430</wp:posOffset>
            </wp:positionV>
            <wp:extent cx="5281295" cy="2437130"/>
            <wp:effectExtent l="0" t="0" r="1905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" r="2413" b="4927"/>
                    <a:stretch/>
                  </pic:blipFill>
                  <pic:spPr bwMode="auto">
                    <a:xfrm>
                      <a:off x="0" y="0"/>
                      <a:ext cx="528129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963" w:rsidRPr="00110982">
        <w:rPr>
          <w:rFonts w:ascii="Arial Narrow" w:hAnsi="Arial Narrow"/>
        </w:rPr>
        <w:t>Representatives from the E</w:t>
      </w:r>
      <w:r w:rsidR="0062133F">
        <w:rPr>
          <w:rFonts w:ascii="Arial Narrow" w:hAnsi="Arial Narrow"/>
        </w:rPr>
        <w:t>uropean</w:t>
      </w:r>
      <w:r w:rsidR="00CC4963" w:rsidRPr="00110982">
        <w:rPr>
          <w:rFonts w:ascii="Arial Narrow" w:hAnsi="Arial Narrow"/>
        </w:rPr>
        <w:t xml:space="preserve"> </w:t>
      </w:r>
      <w:r w:rsidR="0011410B">
        <w:rPr>
          <w:rFonts w:ascii="Arial Narrow" w:hAnsi="Arial Narrow"/>
        </w:rPr>
        <w:t>C</w:t>
      </w:r>
      <w:r w:rsidR="00CC4963" w:rsidRPr="00110982">
        <w:rPr>
          <w:rFonts w:ascii="Arial Narrow" w:hAnsi="Arial Narrow"/>
        </w:rPr>
        <w:t xml:space="preserve">ommission also intervened by sharing the strategic relevance of this multi-country Technical Support Instrument (TSI) project to advance strategic </w:t>
      </w:r>
      <w:r w:rsidR="00A860CE">
        <w:rPr>
          <w:rFonts w:ascii="Arial Narrow" w:hAnsi="Arial Narrow"/>
        </w:rPr>
        <w:t>mineral supply</w:t>
      </w:r>
      <w:r w:rsidR="00CC4963" w:rsidRPr="00110982">
        <w:rPr>
          <w:rFonts w:ascii="Arial Narrow" w:hAnsi="Arial Narrow"/>
        </w:rPr>
        <w:t xml:space="preserve"> goals in</w:t>
      </w:r>
      <w:r w:rsidR="00A860CE">
        <w:rPr>
          <w:rFonts w:ascii="Arial Narrow" w:hAnsi="Arial Narrow"/>
        </w:rPr>
        <w:t xml:space="preserve"> the</w:t>
      </w:r>
      <w:r w:rsidR="00CC4963" w:rsidRPr="00110982">
        <w:rPr>
          <w:rFonts w:ascii="Arial Narrow" w:hAnsi="Arial Narrow"/>
        </w:rPr>
        <w:t xml:space="preserve"> EU and help build synergies across </w:t>
      </w:r>
      <w:r w:rsidR="0062133F">
        <w:rPr>
          <w:rFonts w:ascii="Arial Narrow" w:hAnsi="Arial Narrow"/>
        </w:rPr>
        <w:t>M</w:t>
      </w:r>
      <w:r w:rsidR="00CC4963" w:rsidRPr="00110982">
        <w:rPr>
          <w:rFonts w:ascii="Arial Narrow" w:hAnsi="Arial Narrow"/>
        </w:rPr>
        <w:t xml:space="preserve">ember </w:t>
      </w:r>
      <w:r w:rsidR="0062133F">
        <w:rPr>
          <w:rFonts w:ascii="Arial Narrow" w:hAnsi="Arial Narrow"/>
        </w:rPr>
        <w:t>S</w:t>
      </w:r>
      <w:r w:rsidR="00CC4963" w:rsidRPr="00110982">
        <w:rPr>
          <w:rFonts w:ascii="Arial Narrow" w:hAnsi="Arial Narrow"/>
        </w:rPr>
        <w:t xml:space="preserve">tates. </w:t>
      </w:r>
    </w:p>
    <w:p w14:paraId="0DB39ADB" w14:textId="40346B4C" w:rsidR="00704D0D" w:rsidRPr="00950BE1" w:rsidRDefault="00534542">
      <w:pPr>
        <w:pStyle w:val="Heading2"/>
        <w:rPr>
          <w:color w:val="4472C4" w:themeColor="accent1"/>
          <w:sz w:val="24"/>
          <w:szCs w:val="24"/>
        </w:rPr>
      </w:pPr>
      <w:r w:rsidRPr="00950BE1">
        <w:rPr>
          <w:color w:val="4472C4" w:themeColor="accent1"/>
          <w:sz w:val="24"/>
          <w:szCs w:val="24"/>
        </w:rPr>
        <w:lastRenderedPageBreak/>
        <w:t>Opening remarks</w:t>
      </w:r>
    </w:p>
    <w:p w14:paraId="354514B2" w14:textId="77777777" w:rsidR="00B66B02" w:rsidRDefault="00B66B02" w:rsidP="00CC4963">
      <w:pPr>
        <w:tabs>
          <w:tab w:val="left" w:pos="5670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CC4963" w:rsidRPr="00B66B02">
        <w:rPr>
          <w:rFonts w:ascii="Arial Narrow" w:hAnsi="Arial Narrow"/>
        </w:rPr>
        <w:t>fficial welcome</w:t>
      </w:r>
      <w:r>
        <w:rPr>
          <w:rFonts w:ascii="Arial Narrow" w:hAnsi="Arial Narrow"/>
        </w:rPr>
        <w:t>s</w:t>
      </w:r>
      <w:r w:rsidR="00CC4963" w:rsidRPr="00B66B02">
        <w:rPr>
          <w:rFonts w:ascii="Arial Narrow" w:hAnsi="Arial Narrow"/>
        </w:rPr>
        <w:t xml:space="preserve"> to </w:t>
      </w:r>
      <w:proofErr w:type="spellStart"/>
      <w:r w:rsidR="00CC4963" w:rsidRPr="00B66B02">
        <w:rPr>
          <w:rFonts w:ascii="Arial Narrow" w:hAnsi="Arial Narrow"/>
        </w:rPr>
        <w:t>Chalkida</w:t>
      </w:r>
      <w:proofErr w:type="spellEnd"/>
      <w:r w:rsidR="00CC4963" w:rsidRPr="00B66B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were</w:t>
      </w:r>
      <w:r w:rsidR="00CC4963" w:rsidRPr="00B66B02">
        <w:rPr>
          <w:rFonts w:ascii="Arial Narrow" w:hAnsi="Arial Narrow"/>
        </w:rPr>
        <w:t xml:space="preserve"> provided by</w:t>
      </w:r>
      <w:r>
        <w:rPr>
          <w:rFonts w:ascii="Arial Narrow" w:hAnsi="Arial Narrow"/>
        </w:rPr>
        <w:t>:</w:t>
      </w:r>
    </w:p>
    <w:p w14:paraId="33B9D717" w14:textId="77777777" w:rsidR="00B66B02" w:rsidRDefault="00CC4963" w:rsidP="00B66B02">
      <w:pPr>
        <w:pStyle w:val="ListParagraph"/>
        <w:numPr>
          <w:ilvl w:val="0"/>
          <w:numId w:val="6"/>
        </w:numPr>
        <w:tabs>
          <w:tab w:val="left" w:pos="5670"/>
        </w:tabs>
        <w:spacing w:before="120" w:after="120" w:line="240" w:lineRule="auto"/>
        <w:jc w:val="both"/>
        <w:rPr>
          <w:rFonts w:ascii="Arial Narrow" w:hAnsi="Arial Narrow"/>
        </w:rPr>
      </w:pPr>
      <w:r w:rsidRPr="00B66B02">
        <w:rPr>
          <w:rFonts w:ascii="Arial Narrow" w:hAnsi="Arial Narrow"/>
          <w:b/>
          <w:bCs/>
        </w:rPr>
        <w:t xml:space="preserve">George </w:t>
      </w:r>
      <w:proofErr w:type="spellStart"/>
      <w:r w:rsidRPr="00B66B02">
        <w:rPr>
          <w:rFonts w:ascii="Arial Narrow" w:hAnsi="Arial Narrow"/>
          <w:b/>
          <w:bCs/>
        </w:rPr>
        <w:t>Kelaiditis</w:t>
      </w:r>
      <w:proofErr w:type="spellEnd"/>
      <w:r w:rsidRPr="00B66B02">
        <w:rPr>
          <w:rFonts w:ascii="Arial Narrow" w:hAnsi="Arial Narrow"/>
        </w:rPr>
        <w:t xml:space="preserve">, Deputy Regional Governor, Prefecture of Evia, Greece </w:t>
      </w:r>
    </w:p>
    <w:p w14:paraId="14F4C399" w14:textId="77777777" w:rsidR="00B66B02" w:rsidRDefault="00CC4963" w:rsidP="00B66B02">
      <w:pPr>
        <w:pStyle w:val="ListParagraph"/>
        <w:numPr>
          <w:ilvl w:val="0"/>
          <w:numId w:val="6"/>
        </w:numPr>
        <w:tabs>
          <w:tab w:val="left" w:pos="5670"/>
        </w:tabs>
        <w:spacing w:before="120" w:after="120" w:line="240" w:lineRule="auto"/>
        <w:jc w:val="both"/>
        <w:rPr>
          <w:rFonts w:ascii="Arial Narrow" w:hAnsi="Arial Narrow"/>
        </w:rPr>
      </w:pPr>
      <w:r w:rsidRPr="00B66B02">
        <w:rPr>
          <w:rFonts w:ascii="Arial Narrow" w:hAnsi="Arial Narrow"/>
          <w:b/>
          <w:bCs/>
        </w:rPr>
        <w:t xml:space="preserve">Konstantinos </w:t>
      </w:r>
      <w:proofErr w:type="spellStart"/>
      <w:r w:rsidRPr="00B66B02">
        <w:rPr>
          <w:rFonts w:ascii="Arial Narrow" w:hAnsi="Arial Narrow"/>
          <w:b/>
          <w:bCs/>
        </w:rPr>
        <w:t>Galanis</w:t>
      </w:r>
      <w:proofErr w:type="spellEnd"/>
      <w:r w:rsidRPr="00B66B02">
        <w:rPr>
          <w:rFonts w:ascii="Arial Narrow" w:hAnsi="Arial Narrow"/>
        </w:rPr>
        <w:t>, Deputy Regional Governor for Development and Entrepreneurship, Greece</w:t>
      </w:r>
    </w:p>
    <w:p w14:paraId="507983A6" w14:textId="60BC4933" w:rsidR="00B66B02" w:rsidRDefault="00B66B02" w:rsidP="00B66B02">
      <w:pPr>
        <w:pStyle w:val="ListParagraph"/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Arial Narrow" w:hAnsi="Arial Narrow"/>
        </w:rPr>
      </w:pPr>
      <w:r w:rsidRPr="00B66B02">
        <w:rPr>
          <w:rFonts w:ascii="Arial Narrow" w:hAnsi="Arial Narrow"/>
          <w:b/>
          <w:bCs/>
        </w:rPr>
        <w:t>Roula G. Kechri</w:t>
      </w:r>
      <w:r w:rsidRPr="00B66B02">
        <w:rPr>
          <w:rFonts w:ascii="Arial Narrow" w:hAnsi="Arial Narrow"/>
        </w:rPr>
        <w:t>, Governor’s Advisor, Region of Central Greece</w:t>
      </w:r>
    </w:p>
    <w:p w14:paraId="2D28AC93" w14:textId="77777777" w:rsidR="00825146" w:rsidRDefault="00825146" w:rsidP="00B66B02">
      <w:pPr>
        <w:tabs>
          <w:tab w:val="left" w:pos="5670"/>
        </w:tabs>
        <w:spacing w:after="0" w:line="240" w:lineRule="auto"/>
        <w:jc w:val="both"/>
        <w:rPr>
          <w:rFonts w:ascii="Arial Narrow" w:hAnsi="Arial Narrow"/>
        </w:rPr>
      </w:pPr>
    </w:p>
    <w:p w14:paraId="3221B1F7" w14:textId="3514A4FE" w:rsidR="00CC4963" w:rsidRDefault="00B66B02" w:rsidP="00B66B02">
      <w:pPr>
        <w:tabs>
          <w:tab w:val="left" w:pos="567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Central Greece representatives highlighted how the region,</w:t>
      </w:r>
      <w:r w:rsidR="00CC4963" w:rsidRPr="00B66B02">
        <w:rPr>
          <w:rFonts w:ascii="Arial Narrow" w:hAnsi="Arial Narrow"/>
        </w:rPr>
        <w:t xml:space="preserve"> a historic leading producer of </w:t>
      </w:r>
      <w:r w:rsidR="00110982" w:rsidRPr="00B66B02">
        <w:rPr>
          <w:rFonts w:ascii="Arial Narrow" w:hAnsi="Arial Narrow"/>
        </w:rPr>
        <w:t>b</w:t>
      </w:r>
      <w:r w:rsidR="00CC4963" w:rsidRPr="00B66B02">
        <w:rPr>
          <w:rFonts w:ascii="Arial Narrow" w:hAnsi="Arial Narrow"/>
        </w:rPr>
        <w:t xml:space="preserve">auxite and </w:t>
      </w:r>
      <w:r w:rsidR="00631F79">
        <w:rPr>
          <w:rFonts w:ascii="Arial Narrow" w:hAnsi="Arial Narrow"/>
        </w:rPr>
        <w:t>aluminium</w:t>
      </w:r>
      <w:r w:rsidR="00CC4963" w:rsidRPr="00B66B02">
        <w:rPr>
          <w:rFonts w:ascii="Arial Narrow" w:hAnsi="Arial Narrow"/>
        </w:rPr>
        <w:t xml:space="preserve"> in Europe, has leveraged its mining endowments to develop the regional industrial base, boost income and support community and transport infrastructure</w:t>
      </w:r>
      <w:r>
        <w:rPr>
          <w:rFonts w:ascii="Arial Narrow" w:hAnsi="Arial Narrow"/>
        </w:rPr>
        <w:t xml:space="preserve"> and the importance of this project in improving the existing mining ecosystem.</w:t>
      </w:r>
    </w:p>
    <w:p w14:paraId="218FD103" w14:textId="77777777" w:rsidR="00B66B02" w:rsidRDefault="00B66B02" w:rsidP="00B66B02">
      <w:pPr>
        <w:tabs>
          <w:tab w:val="left" w:pos="5670"/>
        </w:tabs>
        <w:spacing w:after="0" w:line="240" w:lineRule="auto"/>
        <w:jc w:val="both"/>
        <w:rPr>
          <w:rFonts w:ascii="Arial Narrow" w:hAnsi="Arial Narrow"/>
        </w:rPr>
      </w:pPr>
    </w:p>
    <w:p w14:paraId="60306587" w14:textId="7D1A550D" w:rsidR="00B66B02" w:rsidRPr="00B66B02" w:rsidRDefault="00B66B02" w:rsidP="00B66B0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Other welcoming remarks provided by </w:t>
      </w:r>
      <w:r w:rsidR="009E31AD" w:rsidRPr="00110982">
        <w:rPr>
          <w:rFonts w:ascii="Arial Narrow" w:hAnsi="Arial Narrow"/>
          <w:b/>
          <w:bCs/>
        </w:rPr>
        <w:t>Kaspar Richter</w:t>
      </w:r>
      <w:r w:rsidR="00704D0D" w:rsidRPr="00110982">
        <w:rPr>
          <w:rFonts w:ascii="Arial Narrow" w:hAnsi="Arial Narrow"/>
          <w:b/>
          <w:bCs/>
        </w:rPr>
        <w:t xml:space="preserve">, </w:t>
      </w:r>
      <w:r w:rsidR="00CC4963" w:rsidRPr="00110982">
        <w:rPr>
          <w:rFonts w:ascii="Arial Narrow" w:hAnsi="Arial Narrow"/>
        </w:rPr>
        <w:t xml:space="preserve">The Head of Unit of the Sustainable Growth &amp; Business Environment of DG </w:t>
      </w:r>
      <w:r w:rsidR="00BC482F">
        <w:rPr>
          <w:rFonts w:ascii="Arial Narrow" w:hAnsi="Arial Narrow"/>
        </w:rPr>
        <w:t>REFORM</w:t>
      </w:r>
      <w:r w:rsidR="00CC4963" w:rsidRPr="00110982">
        <w:rPr>
          <w:rFonts w:ascii="Arial Narrow" w:hAnsi="Arial Narrow"/>
        </w:rPr>
        <w:t>, European Commission</w:t>
      </w:r>
      <w:r>
        <w:rPr>
          <w:rFonts w:ascii="Arial Narrow" w:hAnsi="Arial Narrow"/>
        </w:rPr>
        <w:t xml:space="preserve"> and </w:t>
      </w:r>
      <w:r w:rsidRPr="00B66B02">
        <w:rPr>
          <w:rFonts w:ascii="Arial Narrow" w:hAnsi="Arial Narrow"/>
          <w:b/>
          <w:bCs/>
        </w:rPr>
        <w:t xml:space="preserve">Mika </w:t>
      </w:r>
      <w:proofErr w:type="spellStart"/>
      <w:r w:rsidRPr="00B66B02">
        <w:rPr>
          <w:rFonts w:ascii="Arial Narrow" w:hAnsi="Arial Narrow"/>
          <w:b/>
          <w:bCs/>
        </w:rPr>
        <w:t>Riipi</w:t>
      </w:r>
      <w:proofErr w:type="spellEnd"/>
      <w:r>
        <w:rPr>
          <w:rFonts w:ascii="Arial Narrow" w:hAnsi="Arial Narrow"/>
          <w:b/>
          <w:bCs/>
        </w:rPr>
        <w:t>,</w:t>
      </w:r>
      <w:r w:rsidRPr="00B66B02">
        <w:rPr>
          <w:rFonts w:ascii="Arial Narrow" w:hAnsi="Arial Narrow"/>
          <w:b/>
          <w:bCs/>
        </w:rPr>
        <w:t xml:space="preserve"> </w:t>
      </w:r>
      <w:r w:rsidRPr="00B66B02">
        <w:rPr>
          <w:rFonts w:ascii="Arial Narrow" w:hAnsi="Arial Narrow"/>
        </w:rPr>
        <w:t>Governor of Lapland, Finland</w:t>
      </w:r>
      <w:r>
        <w:rPr>
          <w:rFonts w:ascii="Arial Narrow" w:hAnsi="Arial Narrow"/>
        </w:rPr>
        <w:t xml:space="preserve"> highlighted:</w:t>
      </w:r>
    </w:p>
    <w:p w14:paraId="6024811E" w14:textId="2B79B617" w:rsidR="009E31AD" w:rsidRPr="00110982" w:rsidRDefault="009E31AD" w:rsidP="00B66B02">
      <w:pPr>
        <w:spacing w:after="0"/>
        <w:jc w:val="both"/>
        <w:rPr>
          <w:rFonts w:ascii="Arial Narrow" w:hAnsi="Arial Narrow"/>
          <w:b/>
          <w:bCs/>
        </w:rPr>
      </w:pPr>
    </w:p>
    <w:p w14:paraId="19483000" w14:textId="726D1FCE" w:rsidR="00B66B02" w:rsidRDefault="00476AF7" w:rsidP="00B66B02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B66B02" w:rsidRPr="00B66B02">
        <w:rPr>
          <w:rFonts w:ascii="Arial Narrow" w:hAnsi="Arial Narrow"/>
        </w:rPr>
        <w:t>mining industry's importance to the EU's goals for self-sufficient raw mineral supply and green technology production, amid global disruptions.</w:t>
      </w:r>
    </w:p>
    <w:p w14:paraId="603D5338" w14:textId="061D67AA" w:rsidR="00B66B02" w:rsidRDefault="00476AF7" w:rsidP="00B66B02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B66B02" w:rsidRPr="00B66B02">
        <w:rPr>
          <w:rFonts w:ascii="Arial Narrow" w:hAnsi="Arial Narrow"/>
        </w:rPr>
        <w:t xml:space="preserve">crucial role of </w:t>
      </w:r>
      <w:r w:rsidR="00B66B02">
        <w:rPr>
          <w:rFonts w:ascii="Arial Narrow" w:hAnsi="Arial Narrow"/>
        </w:rPr>
        <w:t>regional</w:t>
      </w:r>
      <w:r w:rsidR="00B66B02" w:rsidRPr="00B66B02">
        <w:rPr>
          <w:rFonts w:ascii="Arial Narrow" w:hAnsi="Arial Narrow"/>
        </w:rPr>
        <w:t xml:space="preserve"> governments in implementing EU </w:t>
      </w:r>
      <w:r w:rsidR="00B66B02">
        <w:rPr>
          <w:rFonts w:ascii="Arial Narrow" w:hAnsi="Arial Narrow"/>
        </w:rPr>
        <w:t>legislation such as the EU Green Deal and EU Critical Minerals Act</w:t>
      </w:r>
      <w:r w:rsidR="00B66B02" w:rsidRPr="00B66B02">
        <w:rPr>
          <w:rFonts w:ascii="Arial Narrow" w:hAnsi="Arial Narrow"/>
        </w:rPr>
        <w:t xml:space="preserve"> for long-term resilience.</w:t>
      </w:r>
    </w:p>
    <w:p w14:paraId="714944F6" w14:textId="738C79A1" w:rsidR="00B66B02" w:rsidRDefault="00476AF7" w:rsidP="00B66B02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B66B02" w:rsidRPr="00B66B02">
        <w:rPr>
          <w:rFonts w:ascii="Arial Narrow" w:hAnsi="Arial Narrow"/>
        </w:rPr>
        <w:t>he TSI project's role in enhancing sustainable mineral supply policies at regional and national levels.</w:t>
      </w:r>
    </w:p>
    <w:p w14:paraId="53C7586D" w14:textId="58C5B23B" w:rsidR="00534542" w:rsidRPr="00950BE1" w:rsidRDefault="00906A76">
      <w:pPr>
        <w:rPr>
          <w:rFonts w:ascii="Arial Narrow" w:hAnsi="Arial Narrow"/>
          <w:b/>
          <w:bCs/>
          <w:color w:val="4472C4" w:themeColor="accent1"/>
          <w:sz w:val="24"/>
          <w:szCs w:val="24"/>
        </w:rPr>
      </w:pPr>
      <w:r w:rsidRPr="00950BE1">
        <w:rPr>
          <w:rFonts w:ascii="Arial Narrow" w:hAnsi="Arial Narrow"/>
          <w:b/>
          <w:bCs/>
          <w:color w:val="4472C4" w:themeColor="accent1"/>
          <w:sz w:val="24"/>
          <w:szCs w:val="24"/>
        </w:rPr>
        <w:t>Preliminary findings from the OECD visits to ten beneficiary regions: good practices and policy priorities</w:t>
      </w:r>
    </w:p>
    <w:p w14:paraId="47690850" w14:textId="7463D2AA" w:rsidR="00906A76" w:rsidRPr="00110982" w:rsidRDefault="00906A76" w:rsidP="00950BE1">
      <w:pPr>
        <w:rPr>
          <w:rFonts w:ascii="Arial Narrow" w:hAnsi="Arial Narrow"/>
          <w:b/>
          <w:bCs/>
          <w:lang w:val="pt-PT"/>
        </w:rPr>
      </w:pPr>
      <w:r w:rsidRPr="00110982">
        <w:rPr>
          <w:rFonts w:ascii="Arial Narrow" w:hAnsi="Arial Narrow"/>
          <w:b/>
          <w:bCs/>
          <w:lang w:val="pt-PT"/>
        </w:rPr>
        <w:t>Andres Sanabria and Fernando Riaza, OECD</w:t>
      </w:r>
    </w:p>
    <w:p w14:paraId="2D999E51" w14:textId="6E6F83D3" w:rsidR="00CC4963" w:rsidRPr="00110982" w:rsidRDefault="00704D0D" w:rsidP="00704D0D">
      <w:pPr>
        <w:pStyle w:val="ListParagraph"/>
        <w:numPr>
          <w:ilvl w:val="0"/>
          <w:numId w:val="1"/>
        </w:numPr>
        <w:rPr>
          <w:rFonts w:ascii="Arial Narrow" w:hAnsi="Arial Narrow"/>
          <w:noProof/>
        </w:rPr>
      </w:pPr>
      <w:r w:rsidRPr="00110982">
        <w:rPr>
          <w:rFonts w:ascii="Arial Narrow" w:hAnsi="Arial Narrow"/>
          <w:noProof/>
        </w:rPr>
        <w:t xml:space="preserve">10 </w:t>
      </w:r>
      <w:r w:rsidR="00CC4963" w:rsidRPr="00110982">
        <w:rPr>
          <w:rFonts w:ascii="Arial Narrow" w:hAnsi="Arial Narrow"/>
          <w:noProof/>
        </w:rPr>
        <w:t xml:space="preserve">field visits </w:t>
      </w:r>
      <w:r w:rsidRPr="00110982">
        <w:rPr>
          <w:rFonts w:ascii="Arial Narrow" w:hAnsi="Arial Narrow"/>
          <w:noProof/>
        </w:rPr>
        <w:t xml:space="preserve">to </w:t>
      </w:r>
      <w:r w:rsidR="00631F79">
        <w:rPr>
          <w:rFonts w:ascii="Arial Narrow" w:hAnsi="Arial Narrow"/>
          <w:noProof/>
        </w:rPr>
        <w:t xml:space="preserve">beneficiary </w:t>
      </w:r>
      <w:r w:rsidRPr="00110982">
        <w:rPr>
          <w:rFonts w:ascii="Arial Narrow" w:hAnsi="Arial Narrow"/>
          <w:noProof/>
        </w:rPr>
        <w:t>regions</w:t>
      </w:r>
      <w:r w:rsidR="00CC4963" w:rsidRPr="00110982">
        <w:rPr>
          <w:rFonts w:ascii="Arial Narrow" w:hAnsi="Arial Narrow"/>
          <w:noProof/>
        </w:rPr>
        <w:t xml:space="preserve"> included:</w:t>
      </w:r>
    </w:p>
    <w:p w14:paraId="06D5C4EE" w14:textId="00E534C5" w:rsidR="00CC4963" w:rsidRPr="00110982" w:rsidRDefault="000F558A" w:rsidP="00CC4963">
      <w:pPr>
        <w:pStyle w:val="ListParagraph"/>
        <w:numPr>
          <w:ilvl w:val="1"/>
          <w:numId w:val="1"/>
        </w:num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I</w:t>
      </w:r>
      <w:r w:rsidR="00CC4963" w:rsidRPr="00110982">
        <w:rPr>
          <w:rFonts w:ascii="Arial Narrow" w:hAnsi="Arial Narrow"/>
          <w:noProof/>
        </w:rPr>
        <w:t>nterviews to 450+ stakeholders across 26 municipalities,</w:t>
      </w:r>
    </w:p>
    <w:p w14:paraId="2D5B5293" w14:textId="2D2C1D76" w:rsidR="00704D0D" w:rsidRPr="00110982" w:rsidRDefault="00CC4963" w:rsidP="00110982">
      <w:pPr>
        <w:pStyle w:val="ListParagraph"/>
        <w:numPr>
          <w:ilvl w:val="1"/>
          <w:numId w:val="1"/>
        </w:numPr>
        <w:rPr>
          <w:rFonts w:ascii="Arial Narrow" w:hAnsi="Arial Narrow"/>
          <w:noProof/>
        </w:rPr>
      </w:pPr>
      <w:r w:rsidRPr="00110982">
        <w:rPr>
          <w:rFonts w:ascii="Arial Narrow" w:hAnsi="Arial Narrow"/>
          <w:noProof/>
        </w:rPr>
        <w:t>Visits to 12 mines and 10+ educational institutions</w:t>
      </w:r>
      <w:r w:rsidRPr="00B66B02">
        <w:rPr>
          <w:rFonts w:ascii="Arial Narrow" w:hAnsi="Arial Narrow"/>
          <w:shd w:val="clear" w:color="auto" w:fill="FFFFFF"/>
        </w:rPr>
        <w:t>.</w:t>
      </w:r>
      <w:r w:rsidRPr="00110982">
        <w:rPr>
          <w:rFonts w:ascii="Arial Narrow" w:hAnsi="Arial Narrow"/>
          <w:noProof/>
        </w:rPr>
        <w:t xml:space="preserve"> </w:t>
      </w:r>
    </w:p>
    <w:p w14:paraId="55732971" w14:textId="77777777" w:rsidR="00950BE1" w:rsidRDefault="00704D0D" w:rsidP="00CC496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noProof/>
        </w:rPr>
      </w:pPr>
      <w:r w:rsidRPr="00110982">
        <w:rPr>
          <w:rFonts w:ascii="Arial Narrow" w:hAnsi="Arial Narrow"/>
          <w:noProof/>
        </w:rPr>
        <w:t>Global Outlook of Critical Minerals from the International Energy Agency (IEA)</w:t>
      </w:r>
      <w:r w:rsidR="00950BE1">
        <w:rPr>
          <w:rFonts w:ascii="Arial Narrow" w:hAnsi="Arial Narrow"/>
          <w:noProof/>
        </w:rPr>
        <w:t>:</w:t>
      </w:r>
      <w:r w:rsidR="00CC4963" w:rsidRPr="00110982">
        <w:rPr>
          <w:rFonts w:ascii="Arial Narrow" w:hAnsi="Arial Narrow"/>
          <w:noProof/>
        </w:rPr>
        <w:t xml:space="preserve"> </w:t>
      </w:r>
    </w:p>
    <w:p w14:paraId="237B9716" w14:textId="52AA5583" w:rsidR="00704D0D" w:rsidRPr="00110982" w:rsidRDefault="00950BE1" w:rsidP="00950BE1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M</w:t>
      </w:r>
      <w:r w:rsidR="00CC4963" w:rsidRPr="00110982">
        <w:rPr>
          <w:rFonts w:ascii="Arial Narrow" w:hAnsi="Arial Narrow"/>
          <w:noProof/>
        </w:rPr>
        <w:t xml:space="preserve">aintained </w:t>
      </w:r>
      <w:r w:rsidR="00631F79">
        <w:rPr>
          <w:rFonts w:ascii="Arial Narrow" w:hAnsi="Arial Narrow"/>
          <w:noProof/>
        </w:rPr>
        <w:t>forecast</w:t>
      </w:r>
      <w:r>
        <w:rPr>
          <w:rFonts w:ascii="Arial Narrow" w:hAnsi="Arial Narrow"/>
          <w:noProof/>
        </w:rPr>
        <w:t xml:space="preserve"> </w:t>
      </w:r>
      <w:r w:rsidR="00CC4963" w:rsidRPr="00110982">
        <w:rPr>
          <w:rFonts w:ascii="Arial Narrow" w:hAnsi="Arial Narrow"/>
          <w:noProof/>
        </w:rPr>
        <w:t xml:space="preserve">of higher demand for </w:t>
      </w:r>
      <w:r w:rsidR="00631F79">
        <w:rPr>
          <w:rFonts w:ascii="Arial Narrow" w:hAnsi="Arial Narrow"/>
          <w:noProof/>
        </w:rPr>
        <w:t>critical</w:t>
      </w:r>
      <w:r w:rsidR="00CC4963" w:rsidRPr="00110982">
        <w:rPr>
          <w:rFonts w:ascii="Arial Narrow" w:hAnsi="Arial Narrow"/>
          <w:noProof/>
        </w:rPr>
        <w:t xml:space="preserve"> minerals in the next 10 years, amid short-term price shocks in minerals due to greater supply from </w:t>
      </w:r>
      <w:r w:rsidR="000F558A">
        <w:rPr>
          <w:rFonts w:ascii="Arial Narrow" w:hAnsi="Arial Narrow"/>
          <w:noProof/>
        </w:rPr>
        <w:t>A</w:t>
      </w:r>
      <w:r w:rsidR="00CC4963" w:rsidRPr="00110982">
        <w:rPr>
          <w:rFonts w:ascii="Arial Narrow" w:hAnsi="Arial Narrow"/>
          <w:noProof/>
        </w:rPr>
        <w:t xml:space="preserve">sian markets. </w:t>
      </w:r>
    </w:p>
    <w:p w14:paraId="575FFDFC" w14:textId="1525E76E" w:rsidR="00704D0D" w:rsidRPr="00110982" w:rsidRDefault="00950BE1" w:rsidP="00704D0D">
      <w:pPr>
        <w:pStyle w:val="ListParagraph"/>
        <w:numPr>
          <w:ilvl w:val="0"/>
          <w:numId w:val="1"/>
        </w:num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P</w:t>
      </w:r>
      <w:r w:rsidR="00704D0D" w:rsidRPr="00110982">
        <w:rPr>
          <w:rFonts w:ascii="Arial Narrow" w:hAnsi="Arial Narrow"/>
          <w:noProof/>
        </w:rPr>
        <w:t xml:space="preserve">reliminary </w:t>
      </w:r>
      <w:r>
        <w:rPr>
          <w:rFonts w:ascii="Arial Narrow" w:hAnsi="Arial Narrow"/>
          <w:noProof/>
        </w:rPr>
        <w:t>recommended policy actions to enhance regional mining ecosystems:</w:t>
      </w:r>
    </w:p>
    <w:p w14:paraId="736BA980" w14:textId="36C9234C" w:rsidR="00CC4963" w:rsidRPr="00110982" w:rsidRDefault="00CC4963" w:rsidP="00CC4963">
      <w:pPr>
        <w:pStyle w:val="ListParagraph"/>
        <w:numPr>
          <w:ilvl w:val="1"/>
          <w:numId w:val="1"/>
        </w:numPr>
        <w:rPr>
          <w:rFonts w:ascii="Arial Narrow" w:hAnsi="Arial Narrow"/>
          <w:noProof/>
        </w:rPr>
      </w:pPr>
      <w:r w:rsidRPr="00110982">
        <w:rPr>
          <w:rFonts w:ascii="Arial Narrow" w:hAnsi="Arial Narrow"/>
          <w:noProof/>
        </w:rPr>
        <w:t xml:space="preserve">Strengthening </w:t>
      </w:r>
      <w:hyperlink r:id="rId15" w:history="1">
        <w:r w:rsidRPr="00110982">
          <w:rPr>
            <w:rFonts w:ascii="Arial Narrow" w:hAnsi="Arial Narrow"/>
            <w:noProof/>
          </w:rPr>
          <w:t>mining governance</w:t>
        </w:r>
      </w:hyperlink>
      <w:r w:rsidRPr="00110982">
        <w:rPr>
          <w:rFonts w:ascii="Arial Narrow" w:hAnsi="Arial Narrow"/>
          <w:noProof/>
        </w:rPr>
        <w:t xml:space="preserve"> and company-community partnerships, with </w:t>
      </w:r>
      <w:r w:rsidR="000F558A">
        <w:rPr>
          <w:rFonts w:ascii="Arial Narrow" w:hAnsi="Arial Narrow"/>
          <w:noProof/>
        </w:rPr>
        <w:t xml:space="preserve">a </w:t>
      </w:r>
      <w:r w:rsidRPr="00110982">
        <w:rPr>
          <w:rFonts w:ascii="Arial Narrow" w:hAnsi="Arial Narrow"/>
          <w:noProof/>
        </w:rPr>
        <w:t>focus on environmental considerations and monitoring</w:t>
      </w:r>
      <w:r w:rsidR="00687F3A">
        <w:rPr>
          <w:rFonts w:ascii="Arial Narrow" w:hAnsi="Arial Narrow"/>
          <w:noProof/>
        </w:rPr>
        <w:t>.</w:t>
      </w:r>
    </w:p>
    <w:p w14:paraId="0E2ED4A1" w14:textId="2C1FA9F0" w:rsidR="00CC4963" w:rsidRPr="00110982" w:rsidRDefault="00CC4963" w:rsidP="00CC4963">
      <w:pPr>
        <w:pStyle w:val="ListParagraph"/>
        <w:numPr>
          <w:ilvl w:val="1"/>
          <w:numId w:val="1"/>
        </w:numPr>
        <w:rPr>
          <w:rFonts w:ascii="Arial Narrow" w:hAnsi="Arial Narrow"/>
          <w:noProof/>
        </w:rPr>
      </w:pPr>
      <w:r w:rsidRPr="00110982">
        <w:rPr>
          <w:rFonts w:ascii="Arial Narrow" w:hAnsi="Arial Narrow"/>
          <w:noProof/>
        </w:rPr>
        <w:t xml:space="preserve">More efficient </w:t>
      </w:r>
      <w:hyperlink r:id="rId16" w:history="1">
        <w:r w:rsidRPr="00110982">
          <w:rPr>
            <w:rFonts w:ascii="Arial Narrow" w:hAnsi="Arial Narrow"/>
            <w:noProof/>
          </w:rPr>
          <w:t>permitting process</w:t>
        </w:r>
      </w:hyperlink>
      <w:r w:rsidRPr="00110982">
        <w:rPr>
          <w:rFonts w:ascii="Arial Narrow" w:hAnsi="Arial Narrow"/>
          <w:noProof/>
        </w:rPr>
        <w:t xml:space="preserve"> with greater institutional coordination/capacity, guidelines and </w:t>
      </w:r>
      <w:r w:rsidR="00631F79">
        <w:rPr>
          <w:rFonts w:ascii="Arial Narrow" w:hAnsi="Arial Narrow"/>
          <w:noProof/>
        </w:rPr>
        <w:t>standardisation</w:t>
      </w:r>
      <w:r w:rsidR="00687F3A">
        <w:rPr>
          <w:rFonts w:ascii="Arial Narrow" w:hAnsi="Arial Narrow"/>
          <w:noProof/>
        </w:rPr>
        <w:t>.</w:t>
      </w:r>
    </w:p>
    <w:p w14:paraId="0C4FDC2C" w14:textId="09ADFF40" w:rsidR="00CC4963" w:rsidRPr="00110982" w:rsidRDefault="00000000" w:rsidP="00CC4963">
      <w:pPr>
        <w:pStyle w:val="ListParagraph"/>
        <w:numPr>
          <w:ilvl w:val="1"/>
          <w:numId w:val="1"/>
        </w:numPr>
        <w:rPr>
          <w:rFonts w:ascii="Arial Narrow" w:hAnsi="Arial Narrow"/>
          <w:noProof/>
        </w:rPr>
      </w:pPr>
      <w:hyperlink r:id="rId17" w:history="1">
        <w:r w:rsidR="00CC4963" w:rsidRPr="00110982">
          <w:rPr>
            <w:rFonts w:ascii="Arial Narrow" w:hAnsi="Arial Narrow"/>
            <w:noProof/>
          </w:rPr>
          <w:t>Innovation</w:t>
        </w:r>
      </w:hyperlink>
      <w:r w:rsidR="00CC4963" w:rsidRPr="00110982">
        <w:rPr>
          <w:rFonts w:ascii="Arial Narrow" w:hAnsi="Arial Narrow"/>
          <w:noProof/>
        </w:rPr>
        <w:t xml:space="preserve"> </w:t>
      </w:r>
      <w:r w:rsidR="00687F3A">
        <w:rPr>
          <w:rFonts w:ascii="Arial Narrow" w:hAnsi="Arial Narrow"/>
          <w:noProof/>
        </w:rPr>
        <w:t>to improve involvement of local</w:t>
      </w:r>
      <w:r w:rsidR="00687F3A" w:rsidRPr="00110982">
        <w:rPr>
          <w:rFonts w:ascii="Arial Narrow" w:hAnsi="Arial Narrow"/>
          <w:noProof/>
        </w:rPr>
        <w:t xml:space="preserve"> </w:t>
      </w:r>
      <w:r w:rsidR="00CC4963" w:rsidRPr="00110982">
        <w:rPr>
          <w:rFonts w:ascii="Arial Narrow" w:hAnsi="Arial Narrow"/>
          <w:noProof/>
        </w:rPr>
        <w:t>business</w:t>
      </w:r>
      <w:r w:rsidR="00687F3A">
        <w:rPr>
          <w:rFonts w:ascii="Arial Narrow" w:hAnsi="Arial Narrow"/>
          <w:noProof/>
        </w:rPr>
        <w:t>es</w:t>
      </w:r>
      <w:r w:rsidR="00CC4963" w:rsidRPr="00110982">
        <w:rPr>
          <w:rFonts w:ascii="Arial Narrow" w:hAnsi="Arial Narrow"/>
          <w:noProof/>
        </w:rPr>
        <w:t xml:space="preserve"> and</w:t>
      </w:r>
      <w:r w:rsidR="00687F3A">
        <w:rPr>
          <w:rFonts w:ascii="Arial Narrow" w:hAnsi="Arial Narrow"/>
          <w:noProof/>
        </w:rPr>
        <w:t xml:space="preserve"> increased</w:t>
      </w:r>
      <w:r w:rsidR="00CC4963" w:rsidRPr="00110982">
        <w:rPr>
          <w:rFonts w:ascii="Arial Narrow" w:hAnsi="Arial Narrow"/>
          <w:noProof/>
        </w:rPr>
        <w:t xml:space="preserve"> incentives for </w:t>
      </w:r>
      <w:hyperlink r:id="rId18" w:history="1">
        <w:r w:rsidR="00CC4963" w:rsidRPr="00110982">
          <w:rPr>
            <w:rFonts w:ascii="Arial Narrow" w:hAnsi="Arial Narrow"/>
            <w:noProof/>
          </w:rPr>
          <w:t>circularity</w:t>
        </w:r>
      </w:hyperlink>
      <w:r w:rsidR="00CC4963" w:rsidRPr="00110982">
        <w:rPr>
          <w:rFonts w:ascii="Arial Narrow" w:hAnsi="Arial Narrow"/>
          <w:noProof/>
        </w:rPr>
        <w:t xml:space="preserve"> and sustainable mining</w:t>
      </w:r>
      <w:r w:rsidR="00687F3A">
        <w:rPr>
          <w:rFonts w:ascii="Arial Narrow" w:hAnsi="Arial Narrow"/>
          <w:noProof/>
        </w:rPr>
        <w:t>.</w:t>
      </w:r>
    </w:p>
    <w:p w14:paraId="165C3DF8" w14:textId="449B4AC9" w:rsidR="00CC4963" w:rsidRPr="00110982" w:rsidRDefault="00CC4963" w:rsidP="00CC4963">
      <w:pPr>
        <w:pStyle w:val="ListParagraph"/>
        <w:numPr>
          <w:ilvl w:val="1"/>
          <w:numId w:val="1"/>
        </w:numPr>
        <w:rPr>
          <w:rFonts w:ascii="Arial Narrow" w:hAnsi="Arial Narrow"/>
          <w:noProof/>
        </w:rPr>
      </w:pPr>
      <w:r w:rsidRPr="00110982">
        <w:rPr>
          <w:rFonts w:ascii="Arial Narrow" w:hAnsi="Arial Narrow"/>
          <w:noProof/>
        </w:rPr>
        <w:t xml:space="preserve">Better </w:t>
      </w:r>
      <w:hyperlink r:id="rId19" w:history="1">
        <w:r w:rsidRPr="00110982">
          <w:rPr>
            <w:rFonts w:ascii="Arial Narrow" w:hAnsi="Arial Narrow"/>
            <w:noProof/>
          </w:rPr>
          <w:t>skill</w:t>
        </w:r>
      </w:hyperlink>
      <w:r w:rsidRPr="00110982">
        <w:rPr>
          <w:rFonts w:ascii="Arial Narrow" w:hAnsi="Arial Narrow"/>
          <w:noProof/>
        </w:rPr>
        <w:t xml:space="preserve"> matching and </w:t>
      </w:r>
      <w:r w:rsidR="00687F3A">
        <w:rPr>
          <w:rFonts w:ascii="Arial Narrow" w:hAnsi="Arial Narrow"/>
          <w:noProof/>
        </w:rPr>
        <w:t>increasing attractiveness of regions</w:t>
      </w:r>
      <w:r w:rsidR="00950BE1">
        <w:rPr>
          <w:rFonts w:ascii="Arial Narrow" w:hAnsi="Arial Narrow"/>
          <w:noProof/>
        </w:rPr>
        <w:t xml:space="preserve"> to workers</w:t>
      </w:r>
      <w:r w:rsidR="00687F3A">
        <w:rPr>
          <w:rFonts w:ascii="Arial Narrow" w:hAnsi="Arial Narrow"/>
          <w:noProof/>
        </w:rPr>
        <w:t>.</w:t>
      </w:r>
    </w:p>
    <w:p w14:paraId="330BBE05" w14:textId="36A9422B" w:rsidR="00CC4963" w:rsidRPr="00110982" w:rsidRDefault="00CC4963" w:rsidP="00110982">
      <w:pPr>
        <w:pStyle w:val="ListParagraph"/>
        <w:numPr>
          <w:ilvl w:val="1"/>
          <w:numId w:val="1"/>
        </w:numPr>
        <w:rPr>
          <w:rFonts w:ascii="Arial Narrow" w:hAnsi="Arial Narrow"/>
          <w:noProof/>
        </w:rPr>
      </w:pPr>
      <w:r w:rsidRPr="00110982">
        <w:rPr>
          <w:rFonts w:ascii="Arial Narrow" w:hAnsi="Arial Narrow"/>
          <w:noProof/>
        </w:rPr>
        <w:t xml:space="preserve">Forward-looking </w:t>
      </w:r>
      <w:hyperlink r:id="rId20" w:history="1">
        <w:r w:rsidRPr="00110982">
          <w:rPr>
            <w:rFonts w:ascii="Arial Narrow" w:hAnsi="Arial Narrow"/>
            <w:noProof/>
          </w:rPr>
          <w:t>green energy</w:t>
        </w:r>
      </w:hyperlink>
      <w:r w:rsidRPr="00110982">
        <w:rPr>
          <w:rFonts w:ascii="Arial Narrow" w:hAnsi="Arial Narrow"/>
          <w:noProof/>
        </w:rPr>
        <w:t xml:space="preserve"> and </w:t>
      </w:r>
      <w:hyperlink r:id="rId21" w:history="1">
        <w:r w:rsidRPr="00110982">
          <w:rPr>
            <w:rFonts w:ascii="Arial Narrow" w:hAnsi="Arial Narrow"/>
            <w:noProof/>
          </w:rPr>
          <w:t>transport</w:t>
        </w:r>
      </w:hyperlink>
      <w:r w:rsidRPr="00110982">
        <w:rPr>
          <w:rFonts w:ascii="Arial Narrow" w:hAnsi="Arial Narrow"/>
          <w:noProof/>
        </w:rPr>
        <w:t xml:space="preserve"> infrastructure.</w:t>
      </w:r>
    </w:p>
    <w:p w14:paraId="05EF15AF" w14:textId="10BC7EB5" w:rsidR="003725C6" w:rsidRPr="00110982" w:rsidRDefault="00704D0D">
      <w:pPr>
        <w:pStyle w:val="ListParagraph"/>
        <w:numPr>
          <w:ilvl w:val="0"/>
          <w:numId w:val="1"/>
        </w:numPr>
        <w:rPr>
          <w:rFonts w:ascii="Arial Narrow" w:hAnsi="Arial Narrow"/>
          <w:noProof/>
        </w:rPr>
      </w:pPr>
      <w:r w:rsidRPr="00110982">
        <w:rPr>
          <w:rFonts w:ascii="Arial Narrow" w:hAnsi="Arial Narrow"/>
          <w:noProof/>
        </w:rPr>
        <w:t xml:space="preserve">Announced the </w:t>
      </w:r>
      <w:r w:rsidRPr="00950BE1">
        <w:rPr>
          <w:rFonts w:ascii="Arial Narrow" w:hAnsi="Arial Narrow"/>
          <w:noProof/>
        </w:rPr>
        <w:t>upcoming</w:t>
      </w:r>
      <w:r w:rsidR="00687F3A" w:rsidRPr="00950BE1">
        <w:rPr>
          <w:rFonts w:ascii="Arial Narrow" w:hAnsi="Arial Narrow"/>
          <w:noProof/>
        </w:rPr>
        <w:t xml:space="preserve"> </w:t>
      </w:r>
      <w:hyperlink r:id="rId22" w:history="1">
        <w:r w:rsidR="00687F3A" w:rsidRPr="00950BE1">
          <w:rPr>
            <w:rStyle w:val="Hyperlink"/>
            <w:rFonts w:ascii="Arial Narrow" w:hAnsi="Arial Narrow"/>
            <w:noProof/>
          </w:rPr>
          <w:t>2024</w:t>
        </w:r>
        <w:r w:rsidRPr="00950BE1">
          <w:rPr>
            <w:rStyle w:val="Hyperlink"/>
            <w:rFonts w:ascii="Arial Narrow" w:hAnsi="Arial Narrow"/>
            <w:noProof/>
          </w:rPr>
          <w:t xml:space="preserve"> OECD</w:t>
        </w:r>
        <w:r w:rsidR="00687F3A" w:rsidRPr="00950BE1">
          <w:rPr>
            <w:rStyle w:val="Hyperlink"/>
            <w:rFonts w:ascii="Arial Narrow" w:hAnsi="Arial Narrow"/>
            <w:noProof/>
          </w:rPr>
          <w:t xml:space="preserve"> Conference of</w:t>
        </w:r>
        <w:r w:rsidRPr="00950BE1">
          <w:rPr>
            <w:rStyle w:val="Hyperlink"/>
            <w:rFonts w:ascii="Arial Narrow" w:hAnsi="Arial Narrow"/>
            <w:noProof/>
          </w:rPr>
          <w:t xml:space="preserve"> Mining Regions and Cities</w:t>
        </w:r>
      </w:hyperlink>
      <w:r w:rsidRPr="00110982">
        <w:rPr>
          <w:rFonts w:ascii="Arial Narrow" w:hAnsi="Arial Narrow"/>
          <w:noProof/>
        </w:rPr>
        <w:t xml:space="preserve"> in Greater Sudbury, Canada</w:t>
      </w:r>
      <w:r w:rsidR="00687F3A">
        <w:rPr>
          <w:rFonts w:ascii="Arial Narrow" w:hAnsi="Arial Narrow"/>
          <w:noProof/>
        </w:rPr>
        <w:t xml:space="preserve">, 8-11 October 2024. </w:t>
      </w:r>
    </w:p>
    <w:p w14:paraId="36496A03" w14:textId="2A55A37F" w:rsidR="00CC4963" w:rsidRDefault="00950BE1" w:rsidP="00CC4963">
      <w:pPr>
        <w:rPr>
          <w:rFonts w:ascii="Arial Narrow" w:hAnsi="Arial Narrow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CC5C887" wp14:editId="174EAC4B">
                <wp:simplePos x="0" y="0"/>
                <wp:positionH relativeFrom="column">
                  <wp:posOffset>1802765</wp:posOffset>
                </wp:positionH>
                <wp:positionV relativeFrom="paragraph">
                  <wp:posOffset>5311</wp:posOffset>
                </wp:positionV>
                <wp:extent cx="1918952" cy="340360"/>
                <wp:effectExtent l="0" t="0" r="12065" b="15240"/>
                <wp:wrapNone/>
                <wp:docPr id="1251003433" name="Rectangle: Rounded Corners 1251003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52" cy="340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3830B" w14:textId="465CBACE" w:rsidR="00950BE1" w:rsidRPr="00E34F3E" w:rsidRDefault="00000000" w:rsidP="00950BE1">
                            <w:pPr>
                              <w:jc w:val="center"/>
                              <w:rPr>
                                <w:rFonts w:ascii="Arial Narrow" w:hAnsi="Arial Narrow"/>
                                <w:color w:val="4472C4" w:themeColor="accent1"/>
                                <w:lang w:val="en-AU"/>
                              </w:rPr>
                            </w:pPr>
                            <w:hyperlink r:id="rId23" w:history="1">
                              <w:r w:rsidR="00950BE1" w:rsidRPr="00E34F3E">
                                <w:rPr>
                                  <w:rStyle w:val="Hyperlink"/>
                                  <w:rFonts w:ascii="Arial Narrow" w:hAnsi="Arial Narrow"/>
                                  <w:color w:val="4472C4" w:themeColor="accent1"/>
                                  <w:lang w:val="en-AU"/>
                                </w:rPr>
                                <w:t>Presentation available here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5C887" id="Rectangle: Rounded Corners 1251003433" o:spid="_x0000_s1027" style="position:absolute;margin-left:141.95pt;margin-top:.4pt;width:151.1pt;height:26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" fillcolor="#d9e2f3 [660]" strokecolor="#d9e2f3 [660]" strokeweight="1pt">
                <v:stroke joinstyle="miter"/>
                <v:textbox>
                  <w:txbxContent>
                    <w:p w14:paraId="32A3830B" w14:textId="465CBACE" w:rsidR="00950BE1" w:rsidRPr="00E34F3E" w:rsidRDefault="009D179F" w:rsidP="00950BE1">
                      <w:pPr>
                        <w:jc w:val="center"/>
                        <w:rPr>
                          <w:rFonts w:ascii="Arial Narrow" w:hAnsi="Arial Narrow"/>
                          <w:color w:val="4472C4" w:themeColor="accent1"/>
                          <w:lang w:val="en-AU"/>
                        </w:rPr>
                      </w:pPr>
                      <w:hyperlink r:id="rId24" w:history="1">
                        <w:r w:rsidR="00950BE1" w:rsidRPr="00E34F3E">
                          <w:rPr>
                            <w:rStyle w:val="Hyperlink"/>
                            <w:rFonts w:ascii="Arial Narrow" w:hAnsi="Arial Narrow"/>
                            <w:color w:val="4472C4" w:themeColor="accent1"/>
                            <w:lang w:val="en-AU"/>
                          </w:rPr>
                          <w:t>Presentation available here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C4963" w:rsidRPr="00110982">
        <w:rPr>
          <w:rFonts w:ascii="Arial Narrow" w:hAnsi="Arial Narrow"/>
          <w:noProof/>
        </w:rPr>
        <w:t xml:space="preserve"> </w:t>
      </w:r>
    </w:p>
    <w:p w14:paraId="79D94F93" w14:textId="74D74E50" w:rsidR="00950BE1" w:rsidRPr="00110982" w:rsidRDefault="00950BE1" w:rsidP="00CC4963">
      <w:pPr>
        <w:rPr>
          <w:rFonts w:ascii="Arial Narrow" w:hAnsi="Arial Narrow"/>
          <w:noProof/>
        </w:rPr>
      </w:pPr>
    </w:p>
    <w:p w14:paraId="49B2A98C" w14:textId="0DEE80AF" w:rsidR="009E31AD" w:rsidRPr="00110982" w:rsidRDefault="00547137" w:rsidP="00950BE1">
      <w:pPr>
        <w:rPr>
          <w:rFonts w:ascii="Arial Narrow" w:hAnsi="Arial Narrow"/>
          <w:b/>
          <w:bCs/>
          <w:noProof/>
        </w:rPr>
      </w:pPr>
      <w:r w:rsidRPr="00110982">
        <w:rPr>
          <w:rFonts w:ascii="Arial Narrow" w:hAnsi="Arial Narrow"/>
          <w:b/>
          <w:bCs/>
          <w:noProof/>
        </w:rPr>
        <w:t xml:space="preserve">Madalina Ivanica - Deputy Head of Unit at DG </w:t>
      </w:r>
      <w:r w:rsidR="00BC482F">
        <w:rPr>
          <w:rFonts w:ascii="Arial Narrow" w:hAnsi="Arial Narrow"/>
          <w:b/>
          <w:bCs/>
          <w:noProof/>
        </w:rPr>
        <w:t>GROW</w:t>
      </w:r>
      <w:r w:rsidRPr="00110982">
        <w:rPr>
          <w:rFonts w:ascii="Arial Narrow" w:hAnsi="Arial Narrow"/>
          <w:b/>
          <w:bCs/>
          <w:noProof/>
        </w:rPr>
        <w:t xml:space="preserve"> - </w:t>
      </w:r>
      <w:r w:rsidR="009E31AD" w:rsidRPr="00110982">
        <w:rPr>
          <w:rFonts w:ascii="Arial Narrow" w:hAnsi="Arial Narrow"/>
          <w:b/>
          <w:bCs/>
          <w:noProof/>
        </w:rPr>
        <w:t>Updates on CRM Act</w:t>
      </w:r>
      <w:r w:rsidR="00906A76" w:rsidRPr="00110982">
        <w:rPr>
          <w:rFonts w:ascii="Arial Narrow" w:hAnsi="Arial Narrow"/>
          <w:b/>
          <w:bCs/>
          <w:noProof/>
        </w:rPr>
        <w:t>:</w:t>
      </w:r>
    </w:p>
    <w:p w14:paraId="32AE0B3A" w14:textId="57908F55" w:rsidR="00704D0D" w:rsidRDefault="00704D0D" w:rsidP="00983EBA">
      <w:pPr>
        <w:pStyle w:val="ListParagraph"/>
        <w:numPr>
          <w:ilvl w:val="0"/>
          <w:numId w:val="1"/>
        </w:numPr>
        <w:rPr>
          <w:rFonts w:ascii="Arial Narrow" w:hAnsi="Arial Narrow"/>
          <w:noProof/>
        </w:rPr>
      </w:pPr>
      <w:r w:rsidRPr="00110982">
        <w:rPr>
          <w:rFonts w:ascii="Arial Narrow" w:hAnsi="Arial Narrow"/>
          <w:noProof/>
        </w:rPr>
        <w:t xml:space="preserve">Discussed the role of regions in implementing the EU Critical Raw Materials Act through support for strategic projects, </w:t>
      </w:r>
      <w:r w:rsidR="00E543EF">
        <w:rPr>
          <w:rFonts w:ascii="Arial Narrow" w:hAnsi="Arial Narrow"/>
          <w:noProof/>
        </w:rPr>
        <w:t>communication</w:t>
      </w:r>
      <w:r w:rsidR="00CC4963" w:rsidRPr="00110982">
        <w:rPr>
          <w:rFonts w:ascii="Arial Narrow" w:hAnsi="Arial Narrow"/>
          <w:noProof/>
        </w:rPr>
        <w:t xml:space="preserve"> and stakeholder engagement around mining, </w:t>
      </w:r>
      <w:r w:rsidRPr="00110982">
        <w:rPr>
          <w:rFonts w:ascii="Arial Narrow" w:hAnsi="Arial Narrow"/>
          <w:noProof/>
        </w:rPr>
        <w:t>collaboration with various government level</w:t>
      </w:r>
      <w:r w:rsidR="000F2368">
        <w:rPr>
          <w:rFonts w:ascii="Arial Narrow" w:hAnsi="Arial Narrow"/>
          <w:noProof/>
        </w:rPr>
        <w:t>s</w:t>
      </w:r>
      <w:r w:rsidR="00CC4963" w:rsidRPr="00110982">
        <w:rPr>
          <w:rFonts w:ascii="Arial Narrow" w:hAnsi="Arial Narrow"/>
          <w:noProof/>
        </w:rPr>
        <w:t xml:space="preserve"> and municipalities</w:t>
      </w:r>
      <w:r w:rsidRPr="00110982">
        <w:rPr>
          <w:rFonts w:ascii="Arial Narrow" w:hAnsi="Arial Narrow"/>
          <w:noProof/>
        </w:rPr>
        <w:t xml:space="preserve">, and </w:t>
      </w:r>
      <w:r w:rsidR="00E543EF">
        <w:rPr>
          <w:rFonts w:ascii="Arial Narrow" w:hAnsi="Arial Narrow"/>
          <w:noProof/>
        </w:rPr>
        <w:t>prioritising</w:t>
      </w:r>
      <w:r w:rsidRPr="00110982">
        <w:rPr>
          <w:rFonts w:ascii="Arial Narrow" w:hAnsi="Arial Narrow"/>
          <w:noProof/>
        </w:rPr>
        <w:t xml:space="preserve"> research and innovation related to mining.</w:t>
      </w:r>
    </w:p>
    <w:p w14:paraId="16720BDC" w14:textId="06859DDE" w:rsidR="00CC4963" w:rsidRPr="00CB445F" w:rsidRDefault="00EF647C" w:rsidP="00CB445F">
      <w:pPr>
        <w:pStyle w:val="Heading1"/>
        <w:spacing w:after="0"/>
        <w:rPr>
          <w:b w:val="0"/>
          <w:bCs w:val="0"/>
          <w:sz w:val="24"/>
          <w:szCs w:val="24"/>
        </w:rPr>
      </w:pPr>
      <w:r w:rsidRPr="00950BE1">
        <w:rPr>
          <w:sz w:val="24"/>
          <w:szCs w:val="24"/>
        </w:rPr>
        <w:lastRenderedPageBreak/>
        <w:t>Reactions from regions: initial learnings and common actions</w:t>
      </w:r>
      <w:r w:rsidR="00D5168A">
        <w:rPr>
          <w:sz w:val="24"/>
          <w:szCs w:val="24"/>
        </w:rPr>
        <w:t xml:space="preserve"> from field visits</w:t>
      </w:r>
    </w:p>
    <w:p w14:paraId="3272E3A8" w14:textId="77777777" w:rsidR="00CB445F" w:rsidRDefault="00CB445F" w:rsidP="00CB445F">
      <w:pPr>
        <w:pStyle w:val="Heading2"/>
        <w:spacing w:after="0"/>
        <w:rPr>
          <w:noProof/>
          <w:color w:val="4472C4" w:themeColor="accent1"/>
          <w:sz w:val="22"/>
          <w:szCs w:val="22"/>
        </w:rPr>
      </w:pPr>
    </w:p>
    <w:p w14:paraId="50FFB97F" w14:textId="15DF4BFD" w:rsidR="00906A76" w:rsidRDefault="00D5168A" w:rsidP="00CB445F">
      <w:pPr>
        <w:pStyle w:val="Heading2"/>
        <w:spacing w:after="0"/>
        <w:rPr>
          <w:noProof/>
          <w:color w:val="4472C4" w:themeColor="accent1"/>
          <w:sz w:val="24"/>
          <w:szCs w:val="24"/>
        </w:rPr>
      </w:pPr>
      <w:r w:rsidRPr="0041555B">
        <w:rPr>
          <w:noProof/>
          <w:sz w:val="24"/>
          <w:szCs w:val="24"/>
        </w:rPr>
        <w:drawing>
          <wp:anchor distT="0" distB="0" distL="114300" distR="114300" simplePos="0" relativeHeight="251658245" behindDoc="0" locked="0" layoutInCell="1" allowOverlap="1" wp14:anchorId="03AE1132" wp14:editId="69111413">
            <wp:simplePos x="0" y="0"/>
            <wp:positionH relativeFrom="column">
              <wp:posOffset>3312685</wp:posOffset>
            </wp:positionH>
            <wp:positionV relativeFrom="paragraph">
              <wp:posOffset>49530</wp:posOffset>
            </wp:positionV>
            <wp:extent cx="2671445" cy="2526030"/>
            <wp:effectExtent l="0" t="0" r="0" b="1270"/>
            <wp:wrapSquare wrapText="bothSides"/>
            <wp:docPr id="6" name="Picture 6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3" t="8921" r="14710" b="4644"/>
                    <a:stretch/>
                  </pic:blipFill>
                  <pic:spPr bwMode="auto">
                    <a:xfrm>
                      <a:off x="0" y="0"/>
                      <a:ext cx="267144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76" w:rsidRPr="0041555B">
        <w:rPr>
          <w:noProof/>
          <w:color w:val="4472C4" w:themeColor="accent1"/>
          <w:sz w:val="24"/>
          <w:szCs w:val="24"/>
        </w:rPr>
        <w:t>1</w:t>
      </w:r>
      <w:r w:rsidR="00906A76" w:rsidRPr="0041555B">
        <w:rPr>
          <w:noProof/>
          <w:color w:val="4472C4" w:themeColor="accent1"/>
          <w:sz w:val="24"/>
          <w:szCs w:val="24"/>
          <w:vertAlign w:val="superscript"/>
        </w:rPr>
        <w:t>st</w:t>
      </w:r>
      <w:r w:rsidR="00906A76" w:rsidRPr="0041555B">
        <w:rPr>
          <w:noProof/>
          <w:color w:val="4472C4" w:themeColor="accent1"/>
          <w:sz w:val="24"/>
          <w:szCs w:val="24"/>
        </w:rPr>
        <w:t xml:space="preserve"> Panel:</w:t>
      </w:r>
    </w:p>
    <w:p w14:paraId="5C0E560A" w14:textId="77777777" w:rsidR="0041555B" w:rsidRPr="0041555B" w:rsidRDefault="0041555B" w:rsidP="0041555B">
      <w:pPr>
        <w:spacing w:after="0"/>
      </w:pPr>
    </w:p>
    <w:p w14:paraId="6B87D21E" w14:textId="0A11C183" w:rsidR="00EF647C" w:rsidRPr="00D5168A" w:rsidRDefault="00EF647C" w:rsidP="004155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D5168A">
        <w:rPr>
          <w:rFonts w:ascii="Arial Narrow" w:hAnsi="Arial Narrow"/>
        </w:rPr>
        <w:t>Manuel Va</w:t>
      </w:r>
      <w:r w:rsidR="001B76A3" w:rsidRPr="00D5168A">
        <w:rPr>
          <w:rFonts w:ascii="Arial Narrow" w:hAnsi="Arial Narrow"/>
        </w:rPr>
        <w:t>z</w:t>
      </w:r>
      <w:r w:rsidRPr="00D5168A">
        <w:rPr>
          <w:rFonts w:ascii="Arial Narrow" w:hAnsi="Arial Narrow"/>
        </w:rPr>
        <w:t>quez</w:t>
      </w:r>
      <w:r w:rsidR="00704D0D" w:rsidRPr="00D5168A">
        <w:rPr>
          <w:rFonts w:ascii="Arial Narrow" w:hAnsi="Arial Narrow"/>
        </w:rPr>
        <w:t xml:space="preserve"> and Jesus Portillo</w:t>
      </w:r>
      <w:r w:rsidRPr="00D5168A">
        <w:rPr>
          <w:rFonts w:ascii="Arial Narrow" w:hAnsi="Arial Narrow"/>
        </w:rPr>
        <w:t>, General Directorate of Mines, Government of Andalusia</w:t>
      </w:r>
    </w:p>
    <w:p w14:paraId="28806813" w14:textId="05921E1E" w:rsidR="00D5168A" w:rsidRPr="00D5168A" w:rsidRDefault="00D5168A" w:rsidP="00D5168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noProof/>
        </w:rPr>
      </w:pPr>
      <w:r w:rsidRPr="00D5168A">
        <w:rPr>
          <w:rFonts w:ascii="Arial Narrow" w:hAnsi="Arial Narrow"/>
          <w:noProof/>
        </w:rPr>
        <w:t>Luis Martins, President for Associação Cluster Portugal Mineral Resources, representing Alentejo region (in-person)</w:t>
      </w:r>
    </w:p>
    <w:p w14:paraId="12326468" w14:textId="77777777" w:rsidR="00EB17E1" w:rsidRPr="00D5168A" w:rsidRDefault="00EB17E1" w:rsidP="00EB17E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noProof/>
          <w:lang w:val="en-US"/>
        </w:rPr>
      </w:pPr>
      <w:r w:rsidRPr="00D5168A">
        <w:rPr>
          <w:rFonts w:ascii="Arial Narrow" w:hAnsi="Arial Narrow"/>
          <w:noProof/>
          <w:lang w:val="en-US"/>
        </w:rPr>
        <w:t>Rosa Onofre, Director of Territorial Planning Unit, CCDR Alentejo (virtual)</w:t>
      </w:r>
    </w:p>
    <w:p w14:paraId="74309038" w14:textId="619FB4E4" w:rsidR="00D5168A" w:rsidRPr="00D5168A" w:rsidRDefault="00D5168A" w:rsidP="00D5168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D5168A">
        <w:rPr>
          <w:rFonts w:ascii="Arial Narrow" w:hAnsi="Arial Narrow"/>
        </w:rPr>
        <w:t xml:space="preserve">Jyrki </w:t>
      </w:r>
      <w:proofErr w:type="spellStart"/>
      <w:r w:rsidRPr="00D5168A">
        <w:rPr>
          <w:rFonts w:ascii="Arial Narrow" w:hAnsi="Arial Narrow"/>
        </w:rPr>
        <w:t>Kaiponen</w:t>
      </w:r>
      <w:proofErr w:type="spellEnd"/>
      <w:r w:rsidRPr="00D5168A">
        <w:rPr>
          <w:rFonts w:ascii="Arial Narrow" w:hAnsi="Arial Narrow"/>
        </w:rPr>
        <w:t>, Governor, Central Ostrobothnia</w:t>
      </w:r>
    </w:p>
    <w:p w14:paraId="4A04A808" w14:textId="0C8A03E6" w:rsidR="00D5168A" w:rsidRPr="00D5168A" w:rsidRDefault="00D5168A" w:rsidP="00D5168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D5168A">
        <w:rPr>
          <w:rFonts w:ascii="Arial Narrow" w:hAnsi="Arial Narrow"/>
        </w:rPr>
        <w:t>Roula G. Kechri, Governor’s Advisor, Region of Central Greece</w:t>
      </w:r>
    </w:p>
    <w:p w14:paraId="69A4E19A" w14:textId="3B16B2A8" w:rsidR="00D5168A" w:rsidRPr="00D5168A" w:rsidRDefault="00D5168A" w:rsidP="00D5168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D5168A">
        <w:rPr>
          <w:rFonts w:ascii="Arial Narrow" w:hAnsi="Arial Narrow"/>
        </w:rPr>
        <w:t xml:space="preserve">Markus </w:t>
      </w:r>
      <w:proofErr w:type="spellStart"/>
      <w:r w:rsidRPr="00D5168A">
        <w:rPr>
          <w:rFonts w:ascii="Arial Narrow" w:hAnsi="Arial Narrow"/>
        </w:rPr>
        <w:t>Hirvonen</w:t>
      </w:r>
      <w:proofErr w:type="spellEnd"/>
      <w:r w:rsidRPr="00D5168A">
        <w:rPr>
          <w:rFonts w:ascii="Arial Narrow" w:hAnsi="Arial Narrow"/>
        </w:rPr>
        <w:t>, Governor, North Karelia</w:t>
      </w:r>
    </w:p>
    <w:p w14:paraId="2230ED19" w14:textId="5661AEF8" w:rsidR="00D5168A" w:rsidRPr="00110982" w:rsidRDefault="00D5168A" w:rsidP="00D5168A">
      <w:pPr>
        <w:ind w:left="360"/>
        <w:rPr>
          <w:rFonts w:ascii="Arial Narrow" w:hAnsi="Arial Narrow"/>
          <w:b/>
          <w:bCs/>
        </w:rPr>
      </w:pPr>
    </w:p>
    <w:p w14:paraId="79970620" w14:textId="3537AC97" w:rsidR="00D5168A" w:rsidRDefault="00D5168A" w:rsidP="00110982">
      <w:pPr>
        <w:ind w:firstLine="360"/>
        <w:rPr>
          <w:rFonts w:ascii="Arial Narrow" w:hAnsi="Arial Narrow"/>
          <w:b/>
          <w:bCs/>
        </w:rPr>
      </w:pPr>
    </w:p>
    <w:p w14:paraId="6A0AA891" w14:textId="71706BEF" w:rsidR="00D5168A" w:rsidRDefault="00EB17E1" w:rsidP="00110982">
      <w:pPr>
        <w:ind w:firstLine="360"/>
        <w:rPr>
          <w:rFonts w:ascii="Arial Narrow" w:hAnsi="Arial Narrow"/>
          <w:b/>
          <w:bCs/>
        </w:rPr>
      </w:pPr>
      <w:r w:rsidRPr="00B66B02">
        <w:rPr>
          <w:rStyle w:val="Heading2Ch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A43E02" wp14:editId="43AED328">
                <wp:simplePos x="0" y="0"/>
                <wp:positionH relativeFrom="margin">
                  <wp:posOffset>-82550</wp:posOffset>
                </wp:positionH>
                <wp:positionV relativeFrom="paragraph">
                  <wp:posOffset>187325</wp:posOffset>
                </wp:positionV>
                <wp:extent cx="6065520" cy="5429250"/>
                <wp:effectExtent l="0" t="0" r="0" b="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5429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2FE8A" w14:textId="373DA640" w:rsidR="00CC4963" w:rsidRPr="006F77A1" w:rsidRDefault="00D5168A" w:rsidP="00CC496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6F77A1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Main messages:</w:t>
                            </w:r>
                          </w:p>
                          <w:p w14:paraId="079B7C18" w14:textId="32191B3E" w:rsidR="00CC4963" w:rsidRPr="006F77A1" w:rsidRDefault="00CC4963" w:rsidP="00CC49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Communication and transparency around mining projects is a regional priority to ensure mining projects leave</w:t>
                            </w:r>
                            <w:r w:rsidR="000F2368"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a</w:t>
                            </w: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positive legacy locally and are </w:t>
                            </w:r>
                            <w:r w:rsidR="000F2368"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undertaken </w:t>
                            </w: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with community support.</w:t>
                            </w:r>
                          </w:p>
                          <w:p w14:paraId="41798D9C" w14:textId="16E243B2" w:rsidR="00CC4963" w:rsidRPr="006F77A1" w:rsidRDefault="00CC4963" w:rsidP="00CC49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Government agreement</w:t>
                            </w:r>
                            <w:r w:rsidR="000F2368"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s</w:t>
                            </w: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with mining companies for new projects can be an opportunity to address environmental liabilities</w:t>
                            </w:r>
                            <w:r w:rsidR="000F2368"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and enhance social acceptability</w:t>
                            </w: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72F46022" w14:textId="2C4EB3C9" w:rsidR="00CC4963" w:rsidRPr="006F77A1" w:rsidRDefault="000F2368" w:rsidP="00CC49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Increasing i</w:t>
                            </w:r>
                            <w:r w:rsidR="00CC4963"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nnovation </w:t>
                            </w: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through local</w:t>
                            </w:r>
                            <w:r w:rsidR="00CC4963"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SMEs and entrepreneurs is relevant to advance sustainable mining practices</w:t>
                            </w: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and ensure connection to regional development</w:t>
                            </w:r>
                            <w:r w:rsidR="00CC4963"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</w:p>
                          <w:p w14:paraId="6AC473CB" w14:textId="2074BA01" w:rsidR="00CC4963" w:rsidRPr="006F77A1" w:rsidRDefault="00CC4963" w:rsidP="00CC49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Regional governments can improve matching of skills and the supply of training </w:t>
                            </w:r>
                            <w:r w:rsidR="00BB4060"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to </w:t>
                            </w: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reach those </w:t>
                            </w:r>
                            <w:r w:rsidR="00BB4060"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interested in the mining sector.</w:t>
                            </w: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418FA21" w14:textId="61735445" w:rsidR="00CC4963" w:rsidRPr="006F77A1" w:rsidRDefault="00CC4963" w:rsidP="00CC49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Strategic land use planning can mitigate effects of mining </w:t>
                            </w:r>
                            <w:r w:rsidR="00E543E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on</w:t>
                            </w: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the environment (</w:t>
                            </w:r>
                            <w:proofErr w:type="gramStart"/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e.g.</w:t>
                            </w:r>
                            <w:proofErr w:type="gramEnd"/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in natural protected areas) and improve synergies with other economic sectors.</w:t>
                            </w:r>
                          </w:p>
                          <w:p w14:paraId="6D408E8A" w14:textId="77777777" w:rsidR="00CC4963" w:rsidRPr="006F77A1" w:rsidRDefault="00CC4963" w:rsidP="00CC49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The value of international cooperation and sharing best practices to enhance regional mining strategies.</w:t>
                            </w:r>
                          </w:p>
                          <w:p w14:paraId="5120643B" w14:textId="0B400D9F" w:rsidR="00D5168A" w:rsidRPr="006F77A1" w:rsidRDefault="006F77A1" w:rsidP="00D5168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F77A1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Good practices</w:t>
                            </w:r>
                            <w:r w:rsidR="00D5168A" w:rsidRPr="006F77A1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334E4C98" w14:textId="4FD1C949" w:rsidR="006F77A1" w:rsidRPr="006F77A1" w:rsidRDefault="006F77A1" w:rsidP="006F77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1555B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Portugal:</w:t>
                            </w: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Decade-long remediation plan rehabilitating over 100 mines. This plan needs to be better communicated to local communities. </w:t>
                            </w:r>
                          </w:p>
                          <w:p w14:paraId="08C5E965" w14:textId="3036B599" w:rsidR="006F77A1" w:rsidRPr="006F77A1" w:rsidRDefault="006F77A1" w:rsidP="006F77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41555B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Centro Portugal:</w:t>
                            </w: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Emphasised the importance of communication with local communities, suggesting a potential role for Geological Surveys in disseminating information.</w:t>
                            </w:r>
                            <w:r w:rsidR="00EB17E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r w:rsidR="00E543E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T</w:t>
                            </w:r>
                            <w:r w:rsidR="00EB17E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he importance of an inter-municipal development agency to support municipalities in capacity and investment attraction</w:t>
                            </w:r>
                            <w:r w:rsidR="00E543E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was also mentioned</w:t>
                            </w:r>
                            <w:r w:rsidR="00EB17E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B976D3B" w14:textId="3DE17371" w:rsidR="006F77A1" w:rsidRPr="006F77A1" w:rsidRDefault="006F77A1" w:rsidP="006F77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1555B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Central Ostrobothnia: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Geological Survey of Finland has been a major partner with universities in the region to start developing mining operations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  <w:r w:rsidRPr="006F77A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Kokkola Industrial Park is over 70 companies working together in advancing innovation in the region including a lithium-hydrogen factory. </w:t>
                            </w:r>
                          </w:p>
                          <w:p w14:paraId="241A1131" w14:textId="77777777" w:rsidR="0041555B" w:rsidRDefault="006F77A1" w:rsidP="006F77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41555B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North Karelia: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Business Joensuu</w:t>
                            </w:r>
                            <w:r w:rsidR="00C875D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and GTK </w:t>
                            </w:r>
                            <w:proofErr w:type="spellStart"/>
                            <w:r w:rsidR="00C875D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Mintek</w:t>
                            </w:r>
                            <w:proofErr w:type="spellEnd"/>
                            <w:r w:rsidR="00C875D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assist in facilitating innovation in SMEs and groundbreaking research and pilot projects to advance sustainability in the mining sector.</w:t>
                            </w:r>
                          </w:p>
                          <w:p w14:paraId="7F104B81" w14:textId="0D168D1F" w:rsidR="006F77A1" w:rsidRPr="00EB17E1" w:rsidRDefault="0041555B" w:rsidP="00A364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EB17E1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Andalusia:</w:t>
                            </w:r>
                            <w:r w:rsidRPr="00EB17E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Joint programmes on skills and innovation with mining regions in Portugal to share best practices. </w:t>
                            </w:r>
                            <w:r w:rsidR="00EB17E1" w:rsidRPr="00EB17E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The Project Accelerator Unit has helped coordinate and speed-up permitting process for relevant mining projects in the region. The regional government has included in new mining agreements the obligation for companies to rehabilitate the environmental liabilities in the area. </w:t>
                            </w:r>
                            <w:r w:rsidRPr="00EB17E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The region </w:t>
                            </w:r>
                            <w:r w:rsidR="00EB17E1" w:rsidRPr="00EB17E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is establishing</w:t>
                            </w:r>
                            <w:r w:rsidRPr="00EB17E1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a Mining Municipalities Network to allow for cross-municipal collaboration.</w:t>
                            </w:r>
                          </w:p>
                          <w:p w14:paraId="7DD280D4" w14:textId="77777777" w:rsidR="00CC4963" w:rsidRPr="006F77A1" w:rsidRDefault="00CC4963" w:rsidP="00CC49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43E02" id="Rectangle 8" o:spid="_x0000_s1028" style="position:absolute;left:0;text-align:left;margin-left:-6.5pt;margin-top:14.75pt;width:477.6pt;height:42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" fillcolor="#d9e2f3 [660]" stroked="f" strokeweight="1pt">
                <v:textbox>
                  <w:txbxContent>
                    <w:p w14:paraId="55A2FE8A" w14:textId="373DA640" w:rsidR="00CC4963" w:rsidRPr="006F77A1" w:rsidRDefault="00D5168A" w:rsidP="00CC4963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6F77A1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val="en-US"/>
                        </w:rPr>
                        <w:t>Main messages:</w:t>
                      </w:r>
                    </w:p>
                    <w:p w14:paraId="079B7C18" w14:textId="32191B3E" w:rsidR="00CC4963" w:rsidRPr="006F77A1" w:rsidRDefault="00CC4963" w:rsidP="00CC49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>Communication and transparency around mining projects is a regional priority to ensure mining projects leave</w:t>
                      </w:r>
                      <w:r w:rsidR="000F2368"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 a</w:t>
                      </w: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 positive legacy locally and </w:t>
                      </w:r>
                      <w:proofErr w:type="gramStart"/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are </w:t>
                      </w:r>
                      <w:r w:rsidR="000F2368" w:rsidRPr="006F77A1">
                        <w:rPr>
                          <w:rFonts w:ascii="Arial Narrow" w:hAnsi="Arial Narrow"/>
                          <w:color w:val="000000" w:themeColor="text1"/>
                        </w:rPr>
                        <w:t>undertaken</w:t>
                      </w:r>
                      <w:proofErr w:type="gramEnd"/>
                      <w:r w:rsidR="000F2368"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>with community support.</w:t>
                      </w:r>
                    </w:p>
                    <w:p w14:paraId="41798D9C" w14:textId="16E243B2" w:rsidR="00CC4963" w:rsidRPr="006F77A1" w:rsidRDefault="00CC4963" w:rsidP="00CC49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>Government agreement</w:t>
                      </w:r>
                      <w:r w:rsidR="000F2368" w:rsidRPr="006F77A1">
                        <w:rPr>
                          <w:rFonts w:ascii="Arial Narrow" w:hAnsi="Arial Narrow"/>
                          <w:color w:val="000000" w:themeColor="text1"/>
                        </w:rPr>
                        <w:t>s</w:t>
                      </w: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 with mining companies for new projects can be an opportunity to address environmental liabilities</w:t>
                      </w:r>
                      <w:r w:rsidR="000F2368"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 and enhance social acceptability</w:t>
                      </w: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. </w:t>
                      </w:r>
                    </w:p>
                    <w:p w14:paraId="72F46022" w14:textId="2C4EB3C9" w:rsidR="00CC4963" w:rsidRPr="006F77A1" w:rsidRDefault="000F2368" w:rsidP="00CC49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>Increasing i</w:t>
                      </w:r>
                      <w:r w:rsidR="00CC4963"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nnovation </w:t>
                      </w: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>through local</w:t>
                      </w:r>
                      <w:r w:rsidR="00CC4963"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 SMEs and entrepreneurs is relevant to advance sustainable mining practices</w:t>
                      </w: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 and ensure connection to regional development</w:t>
                      </w:r>
                      <w:r w:rsidR="00CC4963" w:rsidRPr="006F77A1">
                        <w:rPr>
                          <w:rFonts w:ascii="Arial Narrow" w:hAnsi="Arial Narrow"/>
                          <w:color w:val="000000" w:themeColor="text1"/>
                        </w:rPr>
                        <w:t>.</w:t>
                      </w:r>
                    </w:p>
                    <w:p w14:paraId="6AC473CB" w14:textId="2074BA01" w:rsidR="00CC4963" w:rsidRPr="006F77A1" w:rsidRDefault="00CC4963" w:rsidP="00CC49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Regional governments can improve matching of skills and the supply of training </w:t>
                      </w:r>
                      <w:r w:rsidR="00BB4060"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to </w:t>
                      </w: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reach those </w:t>
                      </w:r>
                      <w:r w:rsidR="00BB4060" w:rsidRPr="006F77A1">
                        <w:rPr>
                          <w:rFonts w:ascii="Arial Narrow" w:hAnsi="Arial Narrow"/>
                          <w:color w:val="000000" w:themeColor="text1"/>
                        </w:rPr>
                        <w:t>interested in the mining sector.</w:t>
                      </w: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</w:p>
                    <w:p w14:paraId="2418FA21" w14:textId="61735445" w:rsidR="00CC4963" w:rsidRPr="006F77A1" w:rsidRDefault="00CC4963" w:rsidP="00CC49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Strategic land use planning can mitigate effects of mining </w:t>
                      </w:r>
                      <w:r w:rsidR="00E543EF">
                        <w:rPr>
                          <w:rFonts w:ascii="Arial Narrow" w:hAnsi="Arial Narrow"/>
                          <w:color w:val="000000" w:themeColor="text1"/>
                        </w:rPr>
                        <w:t>on</w:t>
                      </w: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 the environment (</w:t>
                      </w:r>
                      <w:proofErr w:type="gramStart"/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>e.g.</w:t>
                      </w:r>
                      <w:proofErr w:type="gramEnd"/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 in natural protected areas) and improve synergies with other economic sectors.</w:t>
                      </w:r>
                    </w:p>
                    <w:p w14:paraId="6D408E8A" w14:textId="77777777" w:rsidR="00CC4963" w:rsidRPr="006F77A1" w:rsidRDefault="00CC4963" w:rsidP="00CC49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>The value of international cooperation and sharing best practices to enhance regional mining strategies.</w:t>
                      </w:r>
                    </w:p>
                    <w:p w14:paraId="5120643B" w14:textId="0B400D9F" w:rsidR="00D5168A" w:rsidRPr="006F77A1" w:rsidRDefault="006F77A1" w:rsidP="00D5168A">
                      <w:pP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6F77A1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Good practices</w:t>
                      </w:r>
                      <w:r w:rsidR="00D5168A" w:rsidRPr="006F77A1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334E4C98" w14:textId="4FD1C949" w:rsidR="006F77A1" w:rsidRPr="006F77A1" w:rsidRDefault="006F77A1" w:rsidP="006F77A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41555B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Portugal:</w:t>
                      </w: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 Decade-long remediation plan rehabilitating over </w:t>
                      </w:r>
                      <w:proofErr w:type="gramStart"/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>100</w:t>
                      </w:r>
                      <w:proofErr w:type="gramEnd"/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 mines. This plan needs to </w:t>
                      </w:r>
                      <w:proofErr w:type="gramStart"/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>be better communicated</w:t>
                      </w:r>
                      <w:proofErr w:type="gramEnd"/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 to local communities. </w:t>
                      </w:r>
                    </w:p>
                    <w:p w14:paraId="08C5E965" w14:textId="3036B599" w:rsidR="006F77A1" w:rsidRPr="006F77A1" w:rsidRDefault="006F77A1" w:rsidP="006F77A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41555B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Centro Portugal:</w:t>
                      </w: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 Emphasised the importance of communication with local communities, suggesting a potential role for Geological Surveys in disseminating information.</w:t>
                      </w:r>
                      <w:r w:rsidR="00EB17E1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r w:rsidR="00E543EF">
                        <w:rPr>
                          <w:rFonts w:ascii="Arial Narrow" w:hAnsi="Arial Narrow"/>
                          <w:color w:val="000000" w:themeColor="text1"/>
                        </w:rPr>
                        <w:t>T</w:t>
                      </w:r>
                      <w:r w:rsidR="00EB17E1">
                        <w:rPr>
                          <w:rFonts w:ascii="Arial Narrow" w:hAnsi="Arial Narrow"/>
                          <w:color w:val="000000" w:themeColor="text1"/>
                        </w:rPr>
                        <w:t>he importance of an inter-municipal development agency to support municipalities in capacity and investment attraction</w:t>
                      </w:r>
                      <w:r w:rsidR="00E543EF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E543EF">
                        <w:rPr>
                          <w:rFonts w:ascii="Arial Narrow" w:hAnsi="Arial Narrow"/>
                          <w:color w:val="000000" w:themeColor="text1"/>
                        </w:rPr>
                        <w:t>was also mentioned</w:t>
                      </w:r>
                      <w:proofErr w:type="gramEnd"/>
                      <w:r w:rsidR="00EB17E1">
                        <w:rPr>
                          <w:rFonts w:ascii="Arial Narrow" w:hAnsi="Arial Narrow"/>
                          <w:color w:val="000000" w:themeColor="text1"/>
                        </w:rPr>
                        <w:t xml:space="preserve">. </w:t>
                      </w:r>
                    </w:p>
                    <w:p w14:paraId="2B976D3B" w14:textId="3DE17371" w:rsidR="006F77A1" w:rsidRPr="006F77A1" w:rsidRDefault="006F77A1" w:rsidP="006F77A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41555B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Central Ostrobothnia: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>Geological Survey of Finland has been a major partner with universities in the region to start developing mining operations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.</w:t>
                      </w:r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 Kokkola Industrial Park is over </w:t>
                      </w:r>
                      <w:proofErr w:type="gramStart"/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>70</w:t>
                      </w:r>
                      <w:proofErr w:type="gramEnd"/>
                      <w:r w:rsidRPr="006F77A1">
                        <w:rPr>
                          <w:rFonts w:ascii="Arial Narrow" w:hAnsi="Arial Narrow"/>
                          <w:color w:val="000000" w:themeColor="text1"/>
                        </w:rPr>
                        <w:t xml:space="preserve"> companies working together in advancing innovation in the region including a lithium-hydrogen factory. </w:t>
                      </w:r>
                    </w:p>
                    <w:p w14:paraId="241A1131" w14:textId="77777777" w:rsidR="0041555B" w:rsidRDefault="006F77A1" w:rsidP="006F77A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41555B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North Karelia: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Business Joensuu</w:t>
                      </w:r>
                      <w:r w:rsidR="00C875D7">
                        <w:rPr>
                          <w:rFonts w:ascii="Arial Narrow" w:hAnsi="Arial Narrow"/>
                          <w:color w:val="000000" w:themeColor="text1"/>
                        </w:rPr>
                        <w:t xml:space="preserve"> and GTK </w:t>
                      </w:r>
                      <w:proofErr w:type="spellStart"/>
                      <w:r w:rsidR="00C875D7">
                        <w:rPr>
                          <w:rFonts w:ascii="Arial Narrow" w:hAnsi="Arial Narrow"/>
                          <w:color w:val="000000" w:themeColor="text1"/>
                        </w:rPr>
                        <w:t>Mintek</w:t>
                      </w:r>
                      <w:proofErr w:type="spellEnd"/>
                      <w:r w:rsidR="00C875D7">
                        <w:rPr>
                          <w:rFonts w:ascii="Arial Narrow" w:hAnsi="Arial Narrow"/>
                          <w:color w:val="000000" w:themeColor="text1"/>
                        </w:rPr>
                        <w:t xml:space="preserve"> assist in facilitating innovation in SMEs and groundbreaking research and pilot projects to advance sustainability in the mining sector.</w:t>
                      </w:r>
                    </w:p>
                    <w:p w14:paraId="7F104B81" w14:textId="0D168D1F" w:rsidR="006F77A1" w:rsidRPr="00EB17E1" w:rsidRDefault="0041555B" w:rsidP="00A364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EB17E1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Andalusia:</w:t>
                      </w:r>
                      <w:r w:rsidRPr="00EB17E1">
                        <w:rPr>
                          <w:rFonts w:ascii="Arial Narrow" w:hAnsi="Arial Narrow"/>
                          <w:color w:val="000000" w:themeColor="text1"/>
                        </w:rPr>
                        <w:t xml:space="preserve"> Joint programmes on skills and innovation with mining regions in Portugal to share best practices. </w:t>
                      </w:r>
                      <w:r w:rsidR="00EB17E1" w:rsidRPr="00EB17E1">
                        <w:rPr>
                          <w:rFonts w:ascii="Arial Narrow" w:hAnsi="Arial Narrow"/>
                          <w:color w:val="000000" w:themeColor="text1"/>
                        </w:rPr>
                        <w:t xml:space="preserve">The Project Accelerator Unit has helped coordinate and speed-up permitting process for relevant mining projects in the region. The regional government has included in new mining agreements the obligation for companies to rehabilitate the environmental liabilities in the area. </w:t>
                      </w:r>
                      <w:r w:rsidRPr="00EB17E1">
                        <w:rPr>
                          <w:rFonts w:ascii="Arial Narrow" w:hAnsi="Arial Narrow"/>
                          <w:color w:val="000000" w:themeColor="text1"/>
                        </w:rPr>
                        <w:t xml:space="preserve">The region </w:t>
                      </w:r>
                      <w:r w:rsidR="00EB17E1" w:rsidRPr="00EB17E1">
                        <w:rPr>
                          <w:rFonts w:ascii="Arial Narrow" w:hAnsi="Arial Narrow"/>
                          <w:color w:val="000000" w:themeColor="text1"/>
                        </w:rPr>
                        <w:t>is establishing</w:t>
                      </w:r>
                      <w:r w:rsidRPr="00EB17E1">
                        <w:rPr>
                          <w:rFonts w:ascii="Arial Narrow" w:hAnsi="Arial Narrow"/>
                          <w:color w:val="000000" w:themeColor="text1"/>
                        </w:rPr>
                        <w:t xml:space="preserve"> a Mining Municipalities Network to allow for cross-municipal collaboration.</w:t>
                      </w:r>
                    </w:p>
                    <w:p w14:paraId="7DD280D4" w14:textId="77777777" w:rsidR="00CC4963" w:rsidRPr="006F77A1" w:rsidRDefault="00CC4963" w:rsidP="00CC496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EFDC04D" w14:textId="47A2E375" w:rsidR="00906A76" w:rsidRPr="0041555B" w:rsidRDefault="00F92460" w:rsidP="00440F09">
      <w:pPr>
        <w:rPr>
          <w:rFonts w:ascii="Arial Narrow" w:hAnsi="Arial Narrow"/>
          <w:b/>
          <w:bCs/>
        </w:rPr>
      </w:pPr>
      <w:r w:rsidRPr="0041555B">
        <w:rPr>
          <w:rFonts w:ascii="Arial Narrow" w:hAnsi="Arial Narrow"/>
          <w:b/>
          <w:bCs/>
          <w:noProof/>
        </w:rPr>
        <w:lastRenderedPageBreak/>
        <w:drawing>
          <wp:anchor distT="0" distB="0" distL="114300" distR="114300" simplePos="0" relativeHeight="251658246" behindDoc="0" locked="0" layoutInCell="1" allowOverlap="1" wp14:anchorId="399D47A9" wp14:editId="0F754187">
            <wp:simplePos x="0" y="0"/>
            <wp:positionH relativeFrom="column">
              <wp:posOffset>3306445</wp:posOffset>
            </wp:positionH>
            <wp:positionV relativeFrom="paragraph">
              <wp:posOffset>213857</wp:posOffset>
            </wp:positionV>
            <wp:extent cx="3101340" cy="2494280"/>
            <wp:effectExtent l="0" t="0" r="0" b="0"/>
            <wp:wrapSquare wrapText="bothSides"/>
            <wp:docPr id="5" name="Picture 5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7" r="2803"/>
                    <a:stretch/>
                  </pic:blipFill>
                  <pic:spPr bwMode="auto">
                    <a:xfrm>
                      <a:off x="0" y="0"/>
                      <a:ext cx="310134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76" w:rsidRPr="0041555B">
        <w:rPr>
          <w:rFonts w:ascii="Arial Narrow" w:hAnsi="Arial Narrow"/>
          <w:b/>
          <w:bCs/>
          <w:color w:val="4472C4" w:themeColor="accent1"/>
          <w:sz w:val="24"/>
          <w:szCs w:val="24"/>
        </w:rPr>
        <w:t>2</w:t>
      </w:r>
      <w:r w:rsidR="00906A76" w:rsidRPr="0041555B">
        <w:rPr>
          <w:rFonts w:ascii="Arial Narrow" w:hAnsi="Arial Narrow"/>
          <w:b/>
          <w:bCs/>
          <w:color w:val="4472C4" w:themeColor="accent1"/>
          <w:sz w:val="24"/>
          <w:szCs w:val="24"/>
          <w:vertAlign w:val="superscript"/>
        </w:rPr>
        <w:t>nd</w:t>
      </w:r>
      <w:r w:rsidR="00906A76" w:rsidRPr="0041555B">
        <w:rPr>
          <w:rFonts w:ascii="Arial Narrow" w:hAnsi="Arial Narrow"/>
          <w:b/>
          <w:bCs/>
          <w:color w:val="4472C4" w:themeColor="accent1"/>
          <w:sz w:val="24"/>
          <w:szCs w:val="24"/>
        </w:rPr>
        <w:t xml:space="preserve"> Panel:</w:t>
      </w:r>
    </w:p>
    <w:p w14:paraId="3DA5DACA" w14:textId="7F309270" w:rsidR="00D5168A" w:rsidRPr="00D5168A" w:rsidRDefault="00774D27" w:rsidP="00D5168A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noProof/>
        </w:rPr>
      </w:pPr>
      <w:r w:rsidRPr="00D5168A">
        <w:rPr>
          <w:rFonts w:ascii="Arial Narrow" w:hAnsi="Arial Narrow"/>
          <w:noProof/>
        </w:rPr>
        <w:t>Luis Martins, President for Associação Cluster Portugal Mineral Resources, representing Centro Portugal region</w:t>
      </w:r>
      <w:r w:rsidR="00EB17E1">
        <w:rPr>
          <w:rFonts w:ascii="Arial Narrow" w:hAnsi="Arial Narrow"/>
          <w:noProof/>
        </w:rPr>
        <w:t xml:space="preserve">. </w:t>
      </w:r>
      <w:r w:rsidR="00E371C7" w:rsidRPr="00D5168A">
        <w:rPr>
          <w:rFonts w:ascii="Arial Narrow" w:hAnsi="Arial Narrow"/>
          <w:noProof/>
        </w:rPr>
        <w:t xml:space="preserve"> </w:t>
      </w:r>
    </w:p>
    <w:p w14:paraId="56F9774F" w14:textId="17852DD0" w:rsidR="00774D27" w:rsidRPr="00D5168A" w:rsidRDefault="00E371C7" w:rsidP="00D5168A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noProof/>
        </w:rPr>
      </w:pPr>
      <w:r w:rsidRPr="00D5168A">
        <w:rPr>
          <w:rFonts w:ascii="Arial Narrow" w:hAnsi="Arial Narrow"/>
          <w:noProof/>
          <w:lang w:val="en-US"/>
        </w:rPr>
        <w:t xml:space="preserve">António Júlio Veiga Simão, </w:t>
      </w:r>
      <w:r w:rsidR="00F02556" w:rsidRPr="00D5168A">
        <w:rPr>
          <w:rFonts w:ascii="Arial Narrow" w:hAnsi="Arial Narrow"/>
          <w:noProof/>
          <w:lang w:val="en-US"/>
        </w:rPr>
        <w:t xml:space="preserve">senior adviser </w:t>
      </w:r>
      <w:r w:rsidRPr="00D5168A">
        <w:rPr>
          <w:rFonts w:ascii="Arial Narrow" w:hAnsi="Arial Narrow"/>
          <w:noProof/>
          <w:lang w:val="en-US"/>
        </w:rPr>
        <w:t>for the CCDR</w:t>
      </w:r>
      <w:r w:rsidR="00F02556" w:rsidRPr="00D5168A">
        <w:rPr>
          <w:rFonts w:ascii="Arial Narrow" w:hAnsi="Arial Narrow"/>
          <w:noProof/>
          <w:lang w:val="en-US"/>
        </w:rPr>
        <w:t>C</w:t>
      </w:r>
      <w:r w:rsidRPr="00D5168A">
        <w:rPr>
          <w:rFonts w:ascii="Arial Narrow" w:hAnsi="Arial Narrow"/>
          <w:noProof/>
          <w:lang w:val="en-US"/>
        </w:rPr>
        <w:t xml:space="preserve"> Centro Portugal (</w:t>
      </w:r>
      <w:r w:rsidR="00D5168A" w:rsidRPr="00D5168A">
        <w:rPr>
          <w:rFonts w:ascii="Arial Narrow" w:hAnsi="Arial Narrow"/>
          <w:noProof/>
          <w:lang w:val="en-US"/>
        </w:rPr>
        <w:t>virtual</w:t>
      </w:r>
      <w:r w:rsidRPr="00D5168A">
        <w:rPr>
          <w:rFonts w:ascii="Arial Narrow" w:hAnsi="Arial Narrow"/>
          <w:noProof/>
          <w:lang w:val="en-US"/>
        </w:rPr>
        <w:t>)</w:t>
      </w:r>
    </w:p>
    <w:p w14:paraId="2D6FED0B" w14:textId="59CE8A5D" w:rsidR="00D5168A" w:rsidRPr="00D5168A" w:rsidRDefault="00D5168A" w:rsidP="00D5168A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noProof/>
          <w:lang w:val="en-US"/>
        </w:rPr>
      </w:pPr>
      <w:r w:rsidRPr="00D5168A">
        <w:rPr>
          <w:rFonts w:ascii="Arial Narrow" w:hAnsi="Arial Narrow"/>
          <w:noProof/>
          <w:lang w:val="en-US"/>
        </w:rPr>
        <w:t>Ida Paaso, Region of Lapland, Finland</w:t>
      </w:r>
    </w:p>
    <w:p w14:paraId="638110D9" w14:textId="4B6864CD" w:rsidR="00D5168A" w:rsidRPr="00D5168A" w:rsidRDefault="00D5168A" w:rsidP="00D5168A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noProof/>
          <w:lang w:val="en-US"/>
        </w:rPr>
      </w:pPr>
      <w:r w:rsidRPr="00D5168A">
        <w:rPr>
          <w:rFonts w:ascii="Arial Narrow" w:hAnsi="Arial Narrow"/>
          <w:noProof/>
          <w:lang w:val="en-US"/>
        </w:rPr>
        <w:t>Jussi Ramet, Governor, Oulu Region</w:t>
      </w:r>
    </w:p>
    <w:p w14:paraId="7C721CBA" w14:textId="59F8503A" w:rsidR="00D5168A" w:rsidRPr="00D5168A" w:rsidRDefault="00D5168A" w:rsidP="00D5168A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noProof/>
          <w:lang w:val="it-IT"/>
        </w:rPr>
      </w:pPr>
      <w:r w:rsidRPr="00D5168A">
        <w:rPr>
          <w:rFonts w:ascii="Arial Narrow" w:hAnsi="Arial Narrow"/>
          <w:noProof/>
          <w:lang w:val="it-IT"/>
        </w:rPr>
        <w:t>Lotta Sartz, Region of Örebro, Sweden</w:t>
      </w:r>
    </w:p>
    <w:p w14:paraId="480B3A0F" w14:textId="63401ED6" w:rsidR="00D5168A" w:rsidRPr="00D5168A" w:rsidRDefault="00D5168A" w:rsidP="00D5168A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noProof/>
          <w:lang w:val="fi-FI"/>
        </w:rPr>
      </w:pPr>
      <w:r w:rsidRPr="00D5168A">
        <w:rPr>
          <w:rFonts w:ascii="Arial Narrow" w:hAnsi="Arial Narrow"/>
          <w:noProof/>
          <w:lang w:val="fi-FI"/>
        </w:rPr>
        <w:t>Kriistina Jokelainen, Representing Kainuu Region, Finland</w:t>
      </w:r>
    </w:p>
    <w:p w14:paraId="4117C5C7" w14:textId="0D81E171" w:rsidR="00D5168A" w:rsidRPr="00B66B02" w:rsidRDefault="00D5168A" w:rsidP="00D5168A">
      <w:pPr>
        <w:ind w:left="360"/>
        <w:rPr>
          <w:rFonts w:ascii="Arial Narrow" w:hAnsi="Arial Narrow"/>
          <w:b/>
          <w:bCs/>
          <w:noProof/>
          <w:lang w:val="it-IT"/>
        </w:rPr>
      </w:pPr>
    </w:p>
    <w:p w14:paraId="565F9ED3" w14:textId="7DDC7E21" w:rsidR="00FB503E" w:rsidRPr="009420ED" w:rsidRDefault="00FB503E" w:rsidP="0041555B">
      <w:pPr>
        <w:rPr>
          <w:rFonts w:ascii="Arial Narrow" w:hAnsi="Arial Narrow"/>
          <w:b/>
          <w:color w:val="4472C4" w:themeColor="accent1"/>
          <w:u w:val="single"/>
          <w:lang w:val="fi-FI"/>
        </w:rPr>
      </w:pPr>
    </w:p>
    <w:p w14:paraId="27F5954E" w14:textId="3C412796" w:rsidR="0041555B" w:rsidRPr="009420ED" w:rsidRDefault="0041555B" w:rsidP="00110982">
      <w:pPr>
        <w:pStyle w:val="Heading1"/>
        <w:rPr>
          <w:sz w:val="24"/>
          <w:szCs w:val="24"/>
          <w:lang w:val="fi-FI"/>
        </w:rPr>
      </w:pPr>
    </w:p>
    <w:p w14:paraId="4B97D507" w14:textId="2A98701F" w:rsidR="00796CF7" w:rsidRDefault="00796CF7" w:rsidP="00110982">
      <w:pPr>
        <w:pStyle w:val="Heading1"/>
        <w:rPr>
          <w:sz w:val="24"/>
          <w:szCs w:val="24"/>
          <w:lang w:val="fi-FI"/>
        </w:rPr>
      </w:pPr>
      <w:r w:rsidRPr="00B66B02">
        <w:rPr>
          <w:rStyle w:val="UnresolvedMention"/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3B4283D0" wp14:editId="55AED6B9">
                <wp:simplePos x="0" y="0"/>
                <wp:positionH relativeFrom="margin">
                  <wp:posOffset>-76200</wp:posOffset>
                </wp:positionH>
                <wp:positionV relativeFrom="paragraph">
                  <wp:posOffset>413385</wp:posOffset>
                </wp:positionV>
                <wp:extent cx="6065520" cy="5215255"/>
                <wp:effectExtent l="0" t="0" r="0" b="444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5215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045BC" w14:textId="77777777" w:rsidR="00CB445F" w:rsidRPr="0041555B" w:rsidRDefault="00CB445F" w:rsidP="00CB445F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41555B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Main messages:</w:t>
                            </w:r>
                          </w:p>
                          <w:p w14:paraId="493CD134" w14:textId="0BAD4478" w:rsidR="00CB445F" w:rsidRPr="000E4096" w:rsidRDefault="00CB445F" w:rsidP="00CB44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0E4096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Municipal level governance is crucial for managing the impacts of mining, with alignment between municipal and regional authorities enhancing effectiveness.</w:t>
                            </w:r>
                          </w:p>
                          <w:p w14:paraId="0831A66A" w14:textId="08B01520" w:rsidR="00CB445F" w:rsidRPr="000E4096" w:rsidRDefault="00CB445F" w:rsidP="00CB44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0E4096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Innovation </w:t>
                            </w:r>
                            <w:r w:rsidR="00C875D7" w:rsidRPr="000E4096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across the entire mining value chain is essential and presents an opportunity for regional economies to participate in sustainable mining practices. </w:t>
                            </w:r>
                          </w:p>
                          <w:p w14:paraId="050A8415" w14:textId="387002C2" w:rsidR="00CB445F" w:rsidRPr="000E4096" w:rsidRDefault="00CB445F" w:rsidP="00CB44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0E4096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Effective communication between mining companies and communities is essential for ensuring mining activities are well-understood and supported by those directly affected.</w:t>
                            </w:r>
                          </w:p>
                          <w:p w14:paraId="5CEE034A" w14:textId="0C9358CE" w:rsidR="00CB445F" w:rsidRPr="000E4096" w:rsidRDefault="00CB445F" w:rsidP="00CB44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0E4096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A monitoring committee is vital for overseeing the mining ecosystem, facilitating knowledge transfer</w:t>
                            </w:r>
                            <w:r w:rsidR="000E4096" w:rsidRPr="000E4096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and communication between stakeholders</w:t>
                            </w:r>
                            <w:r w:rsidRPr="000E4096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, and enhancing community engagement, with successful examples in </w:t>
                            </w:r>
                            <w:proofErr w:type="spellStart"/>
                            <w:r w:rsidRPr="000E4096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Kainuu</w:t>
                            </w:r>
                            <w:proofErr w:type="spellEnd"/>
                            <w:r w:rsidRPr="000E4096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</w:p>
                          <w:p w14:paraId="7E9163BC" w14:textId="66273348" w:rsidR="00CB445F" w:rsidRPr="000E4096" w:rsidRDefault="00EB17E1" w:rsidP="00CB44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Universities can play a crucial role in</w:t>
                            </w:r>
                            <w:r w:rsidR="000E4096" w:rsidRPr="000E4096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addressing social misconceptions around </w:t>
                            </w:r>
                            <w:r w:rsidR="000E4096" w:rsidRPr="000E4096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mining. This involves their contribution to a safe, sustainable</w:t>
                            </w:r>
                            <w:r w:rsidR="00966C78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,</w:t>
                            </w:r>
                            <w:r w:rsidR="000E4096" w:rsidRPr="000E4096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and flourishing mining sector as well as the dissemination of regular and transparent information to local communities. </w:t>
                            </w:r>
                          </w:p>
                          <w:p w14:paraId="28E008FF" w14:textId="0A15F9CE" w:rsidR="00CB445F" w:rsidRPr="000E4096" w:rsidRDefault="00CB445F" w:rsidP="00CB44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0E4096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Policies need to integrate international cooperation and internal innovation, focusing on benefit sharing and worker upskilling to address local needs and enhance global competitiveness in the mining sector.</w:t>
                            </w:r>
                          </w:p>
                          <w:p w14:paraId="5EEF2B55" w14:textId="77777777" w:rsidR="00CB445F" w:rsidRPr="000E4096" w:rsidRDefault="00CB445F" w:rsidP="00CB445F">
                            <w:p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2E74EBF7" w14:textId="315BF4B6" w:rsidR="00CB445F" w:rsidRPr="0041555B" w:rsidRDefault="00CB445F" w:rsidP="00CB445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1555B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Good practices:</w:t>
                            </w:r>
                          </w:p>
                          <w:p w14:paraId="3DB00D52" w14:textId="52F954F7" w:rsidR="000E4096" w:rsidRPr="000E4096" w:rsidRDefault="000E4096" w:rsidP="000E40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41555B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Lapland:</w:t>
                            </w:r>
                            <w:r w:rsidRPr="000E4096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The municipality of </w:t>
                            </w:r>
                            <w:r w:rsidRPr="000E4096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val="en-US"/>
                              </w:rPr>
                              <w:t>Sodankula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val="en-US"/>
                              </w:rPr>
                              <w:t xml:space="preserve"> has been conducting informal gatherings between mining stakeholders and the local community to enhance company-community collaboration and </w:t>
                            </w:r>
                            <w:r w:rsidR="00966C78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val="en-US"/>
                              </w:rPr>
                              <w:t>increase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val="en-US"/>
                              </w:rPr>
                              <w:t xml:space="preserve"> social license to operate.</w:t>
                            </w:r>
                          </w:p>
                          <w:p w14:paraId="217C2EB0" w14:textId="2F062323" w:rsidR="000E4096" w:rsidRDefault="000E4096" w:rsidP="000E40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41555B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t>Örebro:</w:t>
                            </w:r>
                            <w:r w:rsidRPr="0041555B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 w:rsidR="0041555B" w:rsidRPr="0041555B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</w:rPr>
                              <w:t xml:space="preserve">Northern municipalities where companies </w:t>
                            </w:r>
                            <w:r w:rsidR="0041555B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</w:rPr>
                              <w:t>have</w:t>
                            </w:r>
                            <w:r w:rsidR="0041555B" w:rsidRPr="0041555B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 w:rsidR="0041555B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</w:rPr>
                              <w:t xml:space="preserve">active and long-term ESG programmes built through collaboration between companies and communities experience higher levels of social acceptance for mining projects. </w:t>
                            </w:r>
                            <w:r w:rsidR="007B3771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</w:rPr>
                              <w:t xml:space="preserve">A mining </w:t>
                            </w:r>
                            <w:r w:rsidR="004A0BE1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</w:rPr>
                              <w:t>company</w:t>
                            </w:r>
                            <w:r w:rsidR="007B3771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</w:rPr>
                              <w:t>-led programm</w:t>
                            </w:r>
                            <w:r w:rsidR="004A0BE1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</w:rPr>
                              <w:t>e</w:t>
                            </w:r>
                            <w:r w:rsidR="007B3771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</w:rPr>
                              <w:t xml:space="preserve">/fund to support local economic diversification is </w:t>
                            </w:r>
                            <w:r w:rsidR="004A0BE1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</w:rPr>
                              <w:t>an example of this.</w:t>
                            </w:r>
                            <w:r w:rsidR="007B3771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111AB562" w14:textId="360F9934" w:rsidR="007B3771" w:rsidRPr="007B3771" w:rsidRDefault="007B3771" w:rsidP="000E40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</w:pPr>
                            <w:r w:rsidRPr="007B3771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Centr</w:t>
                            </w:r>
                            <w:r w:rsidR="00A32814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o</w:t>
                            </w:r>
                            <w:r w:rsidRPr="007B3771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AA4E7C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Portu</w:t>
                            </w:r>
                            <w:r w:rsidRPr="00AA4E7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en-US"/>
                              </w:rPr>
                              <w:t>gal</w:t>
                            </w:r>
                            <w:r w:rsidRPr="00AA4E7C"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 xml:space="preserve">: The innovative research center </w:t>
                            </w:r>
                            <w:r w:rsidR="00796CF7" w:rsidRPr="00AA4E7C"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>at the Technological Centre for Ceramics and Glass</w:t>
                            </w:r>
                            <w:r w:rsidRPr="00AA4E7C"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AA4E7C"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 xml:space="preserve">has a dedicated sectoral </w:t>
                            </w:r>
                            <w:r w:rsidR="0062133F"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>center</w:t>
                            </w:r>
                            <w:r w:rsidR="00AA4E7C"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 xml:space="preserve"> for innovation and advice, directed at local SMEs in the sector as well as the promotion of circular economy activities. </w:t>
                            </w:r>
                            <w:r w:rsidRPr="00AA4E7C"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283D0" id="Rectangle 1" o:spid="_x0000_s1029" style="position:absolute;margin-left:-6pt;margin-top:32.55pt;width:477.6pt;height:410.65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" fillcolor="#d9e2f3 [660]" stroked="f" strokeweight="1pt">
                <v:textbox>
                  <w:txbxContent>
                    <w:p w14:paraId="788045BC" w14:textId="77777777" w:rsidR="00CB445F" w:rsidRPr="0041555B" w:rsidRDefault="00CB445F" w:rsidP="00CB445F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41555B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val="en-US"/>
                        </w:rPr>
                        <w:t>Main messages:</w:t>
                      </w:r>
                    </w:p>
                    <w:p w14:paraId="493CD134" w14:textId="0BAD4478" w:rsidR="00CB445F" w:rsidRPr="000E4096" w:rsidRDefault="00CB445F" w:rsidP="00CB44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0E4096">
                        <w:rPr>
                          <w:rFonts w:ascii="Arial Narrow" w:hAnsi="Arial Narrow"/>
                          <w:color w:val="000000" w:themeColor="text1"/>
                        </w:rPr>
                        <w:t>Municipal level governance is crucial for managing the impacts of mining, with alignment between municipal and regional authorities enhancing effectiveness.</w:t>
                      </w:r>
                    </w:p>
                    <w:p w14:paraId="0831A66A" w14:textId="08B01520" w:rsidR="00CB445F" w:rsidRPr="000E4096" w:rsidRDefault="00CB445F" w:rsidP="00CB44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0E4096">
                        <w:rPr>
                          <w:rFonts w:ascii="Arial Narrow" w:hAnsi="Arial Narrow"/>
                          <w:color w:val="000000" w:themeColor="text1"/>
                        </w:rPr>
                        <w:t xml:space="preserve">Innovation </w:t>
                      </w:r>
                      <w:r w:rsidR="00C875D7" w:rsidRPr="000E4096">
                        <w:rPr>
                          <w:rFonts w:ascii="Arial Narrow" w:hAnsi="Arial Narrow"/>
                          <w:color w:val="000000" w:themeColor="text1"/>
                        </w:rPr>
                        <w:t xml:space="preserve">across the entire mining value chain is essential and presents an opportunity for regional economies to participate in sustainable mining practices. </w:t>
                      </w:r>
                    </w:p>
                    <w:p w14:paraId="050A8415" w14:textId="387002C2" w:rsidR="00CB445F" w:rsidRPr="000E4096" w:rsidRDefault="00CB445F" w:rsidP="00CB44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0E4096">
                        <w:rPr>
                          <w:rFonts w:ascii="Arial Narrow" w:hAnsi="Arial Narrow"/>
                          <w:color w:val="000000" w:themeColor="text1"/>
                        </w:rPr>
                        <w:t>Effective communication between mining companies and communities is essential for ensuring mining activities are well-understood and supported by those directly affected.</w:t>
                      </w:r>
                    </w:p>
                    <w:p w14:paraId="5CEE034A" w14:textId="0C9358CE" w:rsidR="00CB445F" w:rsidRPr="000E4096" w:rsidRDefault="00CB445F" w:rsidP="00CB44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0E4096">
                        <w:rPr>
                          <w:rFonts w:ascii="Arial Narrow" w:hAnsi="Arial Narrow"/>
                          <w:color w:val="000000" w:themeColor="text1"/>
                        </w:rPr>
                        <w:t>A monitoring committee is vital for overseeing the mining ecosystem, facilitating knowledge transfer</w:t>
                      </w:r>
                      <w:r w:rsidR="000E4096" w:rsidRPr="000E4096">
                        <w:rPr>
                          <w:rFonts w:ascii="Arial Narrow" w:hAnsi="Arial Narrow"/>
                          <w:color w:val="000000" w:themeColor="text1"/>
                        </w:rPr>
                        <w:t xml:space="preserve"> and communication between stakeholders</w:t>
                      </w:r>
                      <w:r w:rsidRPr="000E4096">
                        <w:rPr>
                          <w:rFonts w:ascii="Arial Narrow" w:hAnsi="Arial Narrow"/>
                          <w:color w:val="000000" w:themeColor="text1"/>
                        </w:rPr>
                        <w:t xml:space="preserve">, and enhancing community engagement, with successful examples in </w:t>
                      </w:r>
                      <w:proofErr w:type="spellStart"/>
                      <w:r w:rsidRPr="000E4096">
                        <w:rPr>
                          <w:rFonts w:ascii="Arial Narrow" w:hAnsi="Arial Narrow"/>
                          <w:color w:val="000000" w:themeColor="text1"/>
                        </w:rPr>
                        <w:t>Kainuu</w:t>
                      </w:r>
                      <w:proofErr w:type="spellEnd"/>
                      <w:r w:rsidRPr="000E4096">
                        <w:rPr>
                          <w:rFonts w:ascii="Arial Narrow" w:hAnsi="Arial Narrow"/>
                          <w:color w:val="000000" w:themeColor="text1"/>
                        </w:rPr>
                        <w:t>.</w:t>
                      </w:r>
                    </w:p>
                    <w:p w14:paraId="7E9163BC" w14:textId="66273348" w:rsidR="00CB445F" w:rsidRPr="000E4096" w:rsidRDefault="00EB17E1" w:rsidP="00CB44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Universities can play a crucial role in</w:t>
                      </w:r>
                      <w:r w:rsidR="000E4096" w:rsidRPr="000E4096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addressing social misconceptions around </w:t>
                      </w:r>
                      <w:r w:rsidR="000E4096" w:rsidRPr="000E4096">
                        <w:rPr>
                          <w:rFonts w:ascii="Arial Narrow" w:hAnsi="Arial Narrow"/>
                          <w:color w:val="000000" w:themeColor="text1"/>
                        </w:rPr>
                        <w:t>mining. This involves their contribution to a safe, sustainable</w:t>
                      </w:r>
                      <w:r w:rsidR="00966C78">
                        <w:rPr>
                          <w:rFonts w:ascii="Arial Narrow" w:hAnsi="Arial Narrow"/>
                          <w:color w:val="000000" w:themeColor="text1"/>
                        </w:rPr>
                        <w:t>,</w:t>
                      </w:r>
                      <w:r w:rsidR="000E4096" w:rsidRPr="000E4096">
                        <w:rPr>
                          <w:rFonts w:ascii="Arial Narrow" w:hAnsi="Arial Narrow"/>
                          <w:color w:val="000000" w:themeColor="text1"/>
                        </w:rPr>
                        <w:t xml:space="preserve"> and flourishing mining sector as well as the dissemination of regular and transparent information to local communities. </w:t>
                      </w:r>
                    </w:p>
                    <w:p w14:paraId="28E008FF" w14:textId="0A15F9CE" w:rsidR="00CB445F" w:rsidRPr="000E4096" w:rsidRDefault="00CB445F" w:rsidP="00CB44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0E4096">
                        <w:rPr>
                          <w:rFonts w:ascii="Arial Narrow" w:hAnsi="Arial Narrow"/>
                          <w:color w:val="000000" w:themeColor="text1"/>
                        </w:rPr>
                        <w:t>Policies need to integrate international cooperation and internal innovation, focusing on benefit sharing and worker upskilling to address local needs and enhance global competitiveness in the mining sector.</w:t>
                      </w:r>
                    </w:p>
                    <w:p w14:paraId="5EEF2B55" w14:textId="77777777" w:rsidR="00CB445F" w:rsidRPr="000E4096" w:rsidRDefault="00CB445F" w:rsidP="00CB445F">
                      <w:pPr>
                        <w:spacing w:after="0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2E74EBF7" w14:textId="315BF4B6" w:rsidR="00CB445F" w:rsidRPr="0041555B" w:rsidRDefault="00CB445F" w:rsidP="00CB445F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41555B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Good practices:</w:t>
                      </w:r>
                    </w:p>
                    <w:p w14:paraId="3DB00D52" w14:textId="52F954F7" w:rsidR="000E4096" w:rsidRPr="000E4096" w:rsidRDefault="000E4096" w:rsidP="000E40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41555B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Lapland:</w:t>
                      </w:r>
                      <w:r w:rsidRPr="000E4096">
                        <w:rPr>
                          <w:rFonts w:ascii="Arial Narrow" w:hAnsi="Arial Narrow"/>
                          <w:color w:val="000000" w:themeColor="text1"/>
                        </w:rPr>
                        <w:t xml:space="preserve"> The municipality of </w:t>
                      </w:r>
                      <w:r w:rsidRPr="000E4096">
                        <w:rPr>
                          <w:rFonts w:ascii="Arial Narrow" w:hAnsi="Arial Narrow"/>
                          <w:noProof/>
                          <w:color w:val="000000" w:themeColor="text1"/>
                          <w:lang w:val="en-US"/>
                        </w:rPr>
                        <w:t>Sodankula</w:t>
                      </w:r>
                      <w:r>
                        <w:rPr>
                          <w:rFonts w:ascii="Arial Narrow" w:hAnsi="Arial Narrow"/>
                          <w:noProof/>
                          <w:color w:val="000000" w:themeColor="text1"/>
                          <w:lang w:val="en-US"/>
                        </w:rPr>
                        <w:t xml:space="preserve"> has been conducting informal gatherings between mining stakeholders and the local community to enhance company-community collaboration and </w:t>
                      </w:r>
                      <w:r w:rsidR="00966C78">
                        <w:rPr>
                          <w:rFonts w:ascii="Arial Narrow" w:hAnsi="Arial Narrow"/>
                          <w:noProof/>
                          <w:color w:val="000000" w:themeColor="text1"/>
                          <w:lang w:val="en-US"/>
                        </w:rPr>
                        <w:t>increase</w:t>
                      </w:r>
                      <w:r>
                        <w:rPr>
                          <w:rFonts w:ascii="Arial Narrow" w:hAnsi="Arial Narrow"/>
                          <w:noProof/>
                          <w:color w:val="000000" w:themeColor="text1"/>
                          <w:lang w:val="en-US"/>
                        </w:rPr>
                        <w:t xml:space="preserve"> social license to operate.</w:t>
                      </w:r>
                    </w:p>
                    <w:p w14:paraId="217C2EB0" w14:textId="2F062323" w:rsidR="000E4096" w:rsidRDefault="000E4096" w:rsidP="000E40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41555B">
                        <w:rPr>
                          <w:rFonts w:ascii="Arial Narrow" w:hAnsi="Arial Narrow"/>
                          <w:b/>
                          <w:bCs/>
                          <w:noProof/>
                          <w:color w:val="000000" w:themeColor="text1"/>
                        </w:rPr>
                        <w:t>Örebro:</w:t>
                      </w:r>
                      <w:r w:rsidRPr="0041555B">
                        <w:rPr>
                          <w:rFonts w:ascii="Arial Narrow" w:hAnsi="Arial Narrow"/>
                          <w:noProof/>
                          <w:color w:val="000000" w:themeColor="text1"/>
                        </w:rPr>
                        <w:t xml:space="preserve"> </w:t>
                      </w:r>
                      <w:r w:rsidR="0041555B" w:rsidRPr="0041555B">
                        <w:rPr>
                          <w:rFonts w:ascii="Arial Narrow" w:hAnsi="Arial Narrow"/>
                          <w:noProof/>
                          <w:color w:val="000000" w:themeColor="text1"/>
                        </w:rPr>
                        <w:t xml:space="preserve">Northern municipalities where companies </w:t>
                      </w:r>
                      <w:r w:rsidR="0041555B">
                        <w:rPr>
                          <w:rFonts w:ascii="Arial Narrow" w:hAnsi="Arial Narrow"/>
                          <w:noProof/>
                          <w:color w:val="000000" w:themeColor="text1"/>
                        </w:rPr>
                        <w:t>have</w:t>
                      </w:r>
                      <w:r w:rsidR="0041555B" w:rsidRPr="0041555B">
                        <w:rPr>
                          <w:rFonts w:ascii="Arial Narrow" w:hAnsi="Arial Narrow"/>
                          <w:noProof/>
                          <w:color w:val="000000" w:themeColor="text1"/>
                        </w:rPr>
                        <w:t xml:space="preserve"> </w:t>
                      </w:r>
                      <w:r w:rsidR="0041555B">
                        <w:rPr>
                          <w:rFonts w:ascii="Arial Narrow" w:hAnsi="Arial Narrow"/>
                          <w:noProof/>
                          <w:color w:val="000000" w:themeColor="text1"/>
                        </w:rPr>
                        <w:t xml:space="preserve">active and long-term ESG programmes built through collaboration between companies and communities experience higher levels of social acceptance for mining projects. </w:t>
                      </w:r>
                      <w:r w:rsidR="007B3771">
                        <w:rPr>
                          <w:rFonts w:ascii="Arial Narrow" w:hAnsi="Arial Narrow"/>
                          <w:noProof/>
                          <w:color w:val="000000" w:themeColor="text1"/>
                        </w:rPr>
                        <w:t xml:space="preserve">A mining </w:t>
                      </w:r>
                      <w:r w:rsidR="004A0BE1">
                        <w:rPr>
                          <w:rFonts w:ascii="Arial Narrow" w:hAnsi="Arial Narrow"/>
                          <w:noProof/>
                          <w:color w:val="000000" w:themeColor="text1"/>
                        </w:rPr>
                        <w:t>company</w:t>
                      </w:r>
                      <w:r w:rsidR="007B3771">
                        <w:rPr>
                          <w:rFonts w:ascii="Arial Narrow" w:hAnsi="Arial Narrow"/>
                          <w:noProof/>
                          <w:color w:val="000000" w:themeColor="text1"/>
                        </w:rPr>
                        <w:t>-led programm</w:t>
                      </w:r>
                      <w:r w:rsidR="004A0BE1">
                        <w:rPr>
                          <w:rFonts w:ascii="Arial Narrow" w:hAnsi="Arial Narrow"/>
                          <w:noProof/>
                          <w:color w:val="000000" w:themeColor="text1"/>
                        </w:rPr>
                        <w:t>e</w:t>
                      </w:r>
                      <w:r w:rsidR="007B3771">
                        <w:rPr>
                          <w:rFonts w:ascii="Arial Narrow" w:hAnsi="Arial Narrow"/>
                          <w:noProof/>
                          <w:color w:val="000000" w:themeColor="text1"/>
                        </w:rPr>
                        <w:t xml:space="preserve">/fund to support local economic diversification is </w:t>
                      </w:r>
                      <w:r w:rsidR="004A0BE1">
                        <w:rPr>
                          <w:rFonts w:ascii="Arial Narrow" w:hAnsi="Arial Narrow"/>
                          <w:noProof/>
                          <w:color w:val="000000" w:themeColor="text1"/>
                        </w:rPr>
                        <w:t>an example of this.</w:t>
                      </w:r>
                      <w:r w:rsidR="007B3771">
                        <w:rPr>
                          <w:rFonts w:ascii="Arial Narrow" w:hAnsi="Arial Narrow"/>
                          <w:noProof/>
                          <w:color w:val="000000" w:themeColor="text1"/>
                        </w:rPr>
                        <w:t xml:space="preserve">  </w:t>
                      </w:r>
                    </w:p>
                    <w:p w14:paraId="111AB562" w14:textId="360F9934" w:rsidR="007B3771" w:rsidRPr="007B3771" w:rsidRDefault="007B3771" w:rsidP="000E40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</w:pPr>
                      <w:r w:rsidRPr="007B3771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val="en-US"/>
                        </w:rPr>
                        <w:t>Centr</w:t>
                      </w:r>
                      <w:r w:rsidR="00A32814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val="en-US"/>
                        </w:rPr>
                        <w:t>o</w:t>
                      </w:r>
                      <w:r w:rsidRPr="007B3771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AA4E7C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val="en-US"/>
                        </w:rPr>
                        <w:t>Portu</w:t>
                      </w:r>
                      <w:r w:rsidRPr="00AA4E7C">
                        <w:rPr>
                          <w:rFonts w:ascii="Arial Narrow" w:hAnsi="Arial Narrow"/>
                          <w:b/>
                          <w:color w:val="000000" w:themeColor="text1"/>
                          <w:lang w:val="en-US"/>
                        </w:rPr>
                        <w:t>gal</w:t>
                      </w:r>
                      <w:r w:rsidRPr="00AA4E7C"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 xml:space="preserve">: The innovative research center </w:t>
                      </w:r>
                      <w:r w:rsidR="00796CF7" w:rsidRPr="00AA4E7C"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>at the Technological Centre for Ceramics and Glass</w:t>
                      </w:r>
                      <w:r w:rsidRPr="00AA4E7C"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AA4E7C"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 xml:space="preserve">has a dedicated sectoral </w:t>
                      </w:r>
                      <w:r w:rsidR="0062133F"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>center</w:t>
                      </w:r>
                      <w:r w:rsidR="00AA4E7C"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 xml:space="preserve"> for innovation and advice, directed at local SMEs in the sector as well as the promotion of circular economy activities. </w:t>
                      </w:r>
                      <w:r w:rsidRPr="00AA4E7C"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5274FCF" w14:textId="77777777" w:rsidR="00796CF7" w:rsidRDefault="00796CF7" w:rsidP="00110982">
      <w:pPr>
        <w:pStyle w:val="Heading1"/>
        <w:rPr>
          <w:sz w:val="24"/>
          <w:szCs w:val="24"/>
        </w:rPr>
      </w:pPr>
    </w:p>
    <w:p w14:paraId="0DA4AE31" w14:textId="77777777" w:rsidR="00796CF7" w:rsidRDefault="00796CF7" w:rsidP="00110982">
      <w:pPr>
        <w:pStyle w:val="Heading1"/>
        <w:rPr>
          <w:sz w:val="24"/>
          <w:szCs w:val="24"/>
        </w:rPr>
      </w:pPr>
    </w:p>
    <w:p w14:paraId="7880A239" w14:textId="202D871A" w:rsidR="00FB503E" w:rsidRDefault="00FB503E" w:rsidP="00110982">
      <w:pPr>
        <w:pStyle w:val="Heading1"/>
        <w:rPr>
          <w:sz w:val="24"/>
          <w:szCs w:val="24"/>
        </w:rPr>
      </w:pPr>
      <w:r w:rsidRPr="0041555B">
        <w:rPr>
          <w:sz w:val="24"/>
          <w:szCs w:val="24"/>
        </w:rPr>
        <w:lastRenderedPageBreak/>
        <w:t>Afternoon session – breakout groups</w:t>
      </w:r>
    </w:p>
    <w:p w14:paraId="5B8BFDE6" w14:textId="4302F643" w:rsidR="0041555B" w:rsidRPr="0041555B" w:rsidRDefault="0041555B" w:rsidP="0041555B">
      <w:pPr>
        <w:rPr>
          <w:rFonts w:ascii="Arial Narrow" w:hAnsi="Arial Narrow"/>
        </w:rPr>
      </w:pPr>
      <w:r w:rsidRPr="0041555B">
        <w:rPr>
          <w:rFonts w:ascii="Arial Narrow" w:hAnsi="Arial Narrow"/>
        </w:rPr>
        <w:t xml:space="preserve">Participants joined smaller groups to </w:t>
      </w:r>
      <w:r>
        <w:rPr>
          <w:rFonts w:ascii="Arial Narrow" w:hAnsi="Arial Narrow"/>
        </w:rPr>
        <w:t>discuss issues of most relevance to regional mining ecosystems.</w:t>
      </w:r>
    </w:p>
    <w:p w14:paraId="0A5C25E4" w14:textId="4941302E" w:rsidR="00FB503E" w:rsidRPr="00110982" w:rsidRDefault="00E00590" w:rsidP="006F2ABC">
      <w:pPr>
        <w:pStyle w:val="Heading2"/>
        <w:spacing w:after="40"/>
        <w:rPr>
          <w:noProof/>
          <w:lang w:val="en-US"/>
        </w:rPr>
      </w:pPr>
      <w:r w:rsidRPr="00B66B02">
        <w:rPr>
          <w:sz w:val="22"/>
          <w:szCs w:val="22"/>
        </w:rPr>
        <w:t xml:space="preserve">Group 1. </w:t>
      </w:r>
      <w:r w:rsidR="00FB503E" w:rsidRPr="00B66B02">
        <w:rPr>
          <w:sz w:val="22"/>
          <w:szCs w:val="22"/>
        </w:rPr>
        <w:t>Skills and talent attraction</w:t>
      </w:r>
      <w:r w:rsidR="009420ED">
        <w:rPr>
          <w:sz w:val="22"/>
          <w:szCs w:val="22"/>
        </w:rPr>
        <w:t xml:space="preserve">. </w:t>
      </w:r>
      <w:r w:rsidR="00BD3612" w:rsidRPr="009420ED">
        <w:rPr>
          <w:b w:val="0"/>
          <w:bCs w:val="0"/>
          <w:sz w:val="22"/>
          <w:szCs w:val="22"/>
        </w:rPr>
        <w:t>Common priority actions include</w:t>
      </w:r>
      <w:r w:rsidR="006F2ABC">
        <w:rPr>
          <w:b w:val="0"/>
          <w:bCs w:val="0"/>
          <w:sz w:val="22"/>
          <w:szCs w:val="22"/>
        </w:rPr>
        <w:t>:</w:t>
      </w:r>
    </w:p>
    <w:p w14:paraId="02BAE44A" w14:textId="77777777" w:rsidR="00CC4963" w:rsidRPr="00110982" w:rsidRDefault="00CC4963" w:rsidP="00110982">
      <w:pPr>
        <w:pStyle w:val="ListParagraph"/>
        <w:numPr>
          <w:ilvl w:val="0"/>
          <w:numId w:val="1"/>
        </w:numPr>
        <w:rPr>
          <w:rFonts w:ascii="Arial Narrow" w:hAnsi="Arial Narrow"/>
          <w:noProof/>
          <w:lang w:val="en-US"/>
        </w:rPr>
      </w:pPr>
      <w:r w:rsidRPr="00110982">
        <w:rPr>
          <w:rFonts w:ascii="Arial Narrow" w:hAnsi="Arial Narrow"/>
          <w:noProof/>
          <w:lang w:val="en-US"/>
        </w:rPr>
        <w:t>Develop attractive policies and educational systems tailored to the mining sector's evolving needs.</w:t>
      </w:r>
    </w:p>
    <w:p w14:paraId="56D49EA8" w14:textId="77777777" w:rsidR="00CC4963" w:rsidRPr="00110982" w:rsidRDefault="00CC4963" w:rsidP="00110982">
      <w:pPr>
        <w:pStyle w:val="ListParagraph"/>
        <w:numPr>
          <w:ilvl w:val="0"/>
          <w:numId w:val="1"/>
        </w:numPr>
        <w:rPr>
          <w:rFonts w:ascii="Arial Narrow" w:hAnsi="Arial Narrow"/>
          <w:noProof/>
          <w:lang w:val="en-US"/>
        </w:rPr>
      </w:pPr>
      <w:r w:rsidRPr="00110982">
        <w:rPr>
          <w:rFonts w:ascii="Arial Narrow" w:hAnsi="Arial Narrow"/>
          <w:noProof/>
          <w:lang w:val="en-US"/>
        </w:rPr>
        <w:t>Enhance collaboration between companies, municipalities, and educational institutions to address skill shortages and training needs.</w:t>
      </w:r>
      <w:r w:rsidRPr="00B66B02">
        <w:rPr>
          <w:rStyle w:val="Heading2Char"/>
          <w:sz w:val="22"/>
          <w:szCs w:val="22"/>
        </w:rPr>
        <w:t xml:space="preserve"> </w:t>
      </w:r>
    </w:p>
    <w:p w14:paraId="1B83E047" w14:textId="36B517FE" w:rsidR="00CC4963" w:rsidRPr="00110982" w:rsidRDefault="00CC4963" w:rsidP="00CC4963">
      <w:pPr>
        <w:pStyle w:val="ListParagraph"/>
        <w:numPr>
          <w:ilvl w:val="0"/>
          <w:numId w:val="1"/>
        </w:numPr>
        <w:rPr>
          <w:rFonts w:ascii="Arial Narrow" w:hAnsi="Arial Narrow"/>
          <w:noProof/>
          <w:lang w:val="en-US"/>
        </w:rPr>
      </w:pPr>
      <w:r w:rsidRPr="00110982">
        <w:rPr>
          <w:rFonts w:ascii="Arial Narrow" w:hAnsi="Arial Narrow"/>
          <w:noProof/>
          <w:lang w:val="en-US"/>
        </w:rPr>
        <w:t>Create supportive environments for international and regional workforce integration</w:t>
      </w:r>
      <w:r w:rsidR="006F2ABC">
        <w:rPr>
          <w:rFonts w:ascii="Arial Narrow" w:hAnsi="Arial Narrow"/>
          <w:noProof/>
          <w:lang w:val="en-US"/>
        </w:rPr>
        <w:t>- e.g.</w:t>
      </w:r>
      <w:r w:rsidRPr="00110982">
        <w:rPr>
          <w:rFonts w:ascii="Arial Narrow" w:hAnsi="Arial Narrow"/>
          <w:noProof/>
          <w:lang w:val="en-US"/>
        </w:rPr>
        <w:t xml:space="preserve"> International House Joensuu</w:t>
      </w:r>
      <w:r w:rsidR="00BD3612">
        <w:rPr>
          <w:rFonts w:ascii="Arial Narrow" w:hAnsi="Arial Narrow"/>
          <w:noProof/>
          <w:lang w:val="en-US"/>
        </w:rPr>
        <w:t xml:space="preserve"> community-led </w:t>
      </w:r>
      <w:r w:rsidR="00D86587">
        <w:rPr>
          <w:rFonts w:ascii="Arial Narrow" w:hAnsi="Arial Narrow"/>
          <w:noProof/>
          <w:lang w:val="en-US"/>
        </w:rPr>
        <w:t>language</w:t>
      </w:r>
      <w:r w:rsidR="00BD3612">
        <w:rPr>
          <w:rFonts w:ascii="Arial Narrow" w:hAnsi="Arial Narrow"/>
          <w:noProof/>
          <w:lang w:val="en-US"/>
        </w:rPr>
        <w:t xml:space="preserve"> and cultural training such as in </w:t>
      </w:r>
      <w:r w:rsidR="00BD3612" w:rsidRPr="00BD3612">
        <w:rPr>
          <w:rFonts w:ascii="Arial Narrow" w:hAnsi="Arial Narrow"/>
          <w:noProof/>
          <w:lang w:val="en-US"/>
        </w:rPr>
        <w:t>Sodankylä</w:t>
      </w:r>
      <w:r w:rsidR="00BD3612">
        <w:rPr>
          <w:rFonts w:ascii="Arial Narrow" w:hAnsi="Arial Narrow"/>
          <w:noProof/>
          <w:lang w:val="en-US"/>
        </w:rPr>
        <w:t>.</w:t>
      </w:r>
    </w:p>
    <w:p w14:paraId="6733EA80" w14:textId="3E51E41E" w:rsidR="00CC4963" w:rsidRPr="00110982" w:rsidRDefault="00CC4963" w:rsidP="00CC4963">
      <w:pPr>
        <w:pStyle w:val="ListParagraph"/>
        <w:numPr>
          <w:ilvl w:val="0"/>
          <w:numId w:val="1"/>
        </w:numPr>
        <w:rPr>
          <w:rFonts w:ascii="Arial Narrow" w:hAnsi="Arial Narrow"/>
          <w:noProof/>
          <w:lang w:val="en-US"/>
        </w:rPr>
      </w:pPr>
      <w:r w:rsidRPr="00110982">
        <w:rPr>
          <w:rFonts w:ascii="Arial Narrow" w:hAnsi="Arial Narrow"/>
          <w:noProof/>
          <w:lang w:val="en-US"/>
        </w:rPr>
        <w:t>Focus on strategies to attract and retain young people in the mining sector, learning from dual vocational programs (</w:t>
      </w:r>
      <w:r w:rsidR="00BD3612">
        <w:rPr>
          <w:rFonts w:ascii="Arial Narrow" w:hAnsi="Arial Narrow"/>
          <w:noProof/>
          <w:lang w:val="en-US"/>
        </w:rPr>
        <w:t>Finland</w:t>
      </w:r>
      <w:r w:rsidRPr="00110982">
        <w:rPr>
          <w:rFonts w:ascii="Arial Narrow" w:hAnsi="Arial Narrow"/>
          <w:noProof/>
          <w:lang w:val="en-US"/>
        </w:rPr>
        <w:t>) and ensuring comprehensive support systems</w:t>
      </w:r>
    </w:p>
    <w:p w14:paraId="72892AA0" w14:textId="76DF15A6" w:rsidR="00CC4963" w:rsidRPr="00624D01" w:rsidRDefault="00CC4963" w:rsidP="006F2ABC">
      <w:pPr>
        <w:spacing w:after="40"/>
        <w:rPr>
          <w:rFonts w:ascii="Arial Narrow" w:hAnsi="Arial Narrow"/>
          <w:b/>
        </w:rPr>
      </w:pPr>
      <w:r w:rsidRPr="00B66B02">
        <w:rPr>
          <w:rFonts w:ascii="Arial Narrow" w:hAnsi="Arial Narrow"/>
          <w:b/>
          <w:bCs/>
        </w:rPr>
        <w:t xml:space="preserve">Group </w:t>
      </w:r>
      <w:r w:rsidR="0041555B">
        <w:rPr>
          <w:rFonts w:ascii="Arial Narrow" w:hAnsi="Arial Narrow"/>
          <w:b/>
          <w:bCs/>
        </w:rPr>
        <w:t xml:space="preserve">2: </w:t>
      </w:r>
      <w:r w:rsidRPr="00B66B02">
        <w:rPr>
          <w:rFonts w:ascii="Arial Narrow" w:hAnsi="Arial Narrow"/>
          <w:b/>
          <w:bCs/>
        </w:rPr>
        <w:t xml:space="preserve"> </w:t>
      </w:r>
      <w:r w:rsidR="00624D01">
        <w:rPr>
          <w:rFonts w:ascii="Arial Narrow" w:hAnsi="Arial Narrow"/>
          <w:b/>
          <w:bCs/>
        </w:rPr>
        <w:t xml:space="preserve">Mining </w:t>
      </w:r>
      <w:r w:rsidRPr="00B66B02">
        <w:rPr>
          <w:rFonts w:ascii="Arial Narrow" w:hAnsi="Arial Narrow"/>
          <w:b/>
          <w:bCs/>
        </w:rPr>
        <w:t>Governance</w:t>
      </w:r>
      <w:r w:rsidR="00624D01">
        <w:rPr>
          <w:rFonts w:ascii="Arial Narrow" w:hAnsi="Arial Narrow"/>
          <w:b/>
          <w:bCs/>
        </w:rPr>
        <w:t xml:space="preserve"> and Planning. </w:t>
      </w:r>
      <w:r w:rsidR="00624D01">
        <w:rPr>
          <w:rFonts w:ascii="Arial Narrow" w:hAnsi="Arial Narrow"/>
          <w:noProof/>
          <w:lang w:val="en-US"/>
        </w:rPr>
        <w:t>Common priority actions include</w:t>
      </w:r>
      <w:r w:rsidR="006F2ABC">
        <w:rPr>
          <w:rFonts w:ascii="Arial Narrow" w:hAnsi="Arial Narrow"/>
          <w:noProof/>
          <w:lang w:val="en-US"/>
        </w:rPr>
        <w:t>:</w:t>
      </w:r>
    </w:p>
    <w:p w14:paraId="19C9819B" w14:textId="04B3B8A8" w:rsidR="00CC4963" w:rsidRPr="00110982" w:rsidRDefault="00D86587" w:rsidP="00CC4963">
      <w:pPr>
        <w:pStyle w:val="ListParagraph"/>
        <w:numPr>
          <w:ilvl w:val="0"/>
          <w:numId w:val="1"/>
        </w:numPr>
        <w:rPr>
          <w:rFonts w:ascii="Arial Narrow" w:hAnsi="Arial Narrow"/>
          <w:noProof/>
          <w:lang w:val="en-US"/>
        </w:rPr>
      </w:pPr>
      <w:r>
        <w:rPr>
          <w:rFonts w:ascii="Arial Narrow" w:hAnsi="Arial Narrow"/>
          <w:noProof/>
          <w:lang w:val="en-US"/>
        </w:rPr>
        <w:t>Regional</w:t>
      </w:r>
      <w:r w:rsidR="00CC4963" w:rsidRPr="00110982">
        <w:rPr>
          <w:rFonts w:ascii="Arial Narrow" w:hAnsi="Arial Narrow"/>
          <w:noProof/>
          <w:lang w:val="en-US"/>
        </w:rPr>
        <w:t xml:space="preserve"> mining or mineral related strateg</w:t>
      </w:r>
      <w:r w:rsidR="00624D01">
        <w:rPr>
          <w:rFonts w:ascii="Arial Narrow" w:hAnsi="Arial Narrow"/>
          <w:noProof/>
          <w:lang w:val="en-US"/>
        </w:rPr>
        <w:t>ies</w:t>
      </w:r>
      <w:r w:rsidR="00CC4963" w:rsidRPr="00110982">
        <w:rPr>
          <w:rFonts w:ascii="Arial Narrow" w:hAnsi="Arial Narrow"/>
          <w:noProof/>
          <w:lang w:val="en-US"/>
        </w:rPr>
        <w:t xml:space="preserve"> </w:t>
      </w:r>
      <w:r w:rsidR="00624D01">
        <w:rPr>
          <w:rFonts w:ascii="Arial Narrow" w:hAnsi="Arial Narrow"/>
          <w:noProof/>
          <w:lang w:val="en-US"/>
        </w:rPr>
        <w:t>are</w:t>
      </w:r>
      <w:r w:rsidR="00CC4963" w:rsidRPr="00110982">
        <w:rPr>
          <w:rFonts w:ascii="Arial Narrow" w:hAnsi="Arial Narrow"/>
          <w:noProof/>
          <w:lang w:val="en-US"/>
        </w:rPr>
        <w:t xml:space="preserve"> </w:t>
      </w:r>
      <w:r w:rsidR="00BD3612">
        <w:rPr>
          <w:rFonts w:ascii="Arial Narrow" w:hAnsi="Arial Narrow"/>
          <w:noProof/>
          <w:lang w:val="en-US"/>
        </w:rPr>
        <w:t>instrumental</w:t>
      </w:r>
      <w:r w:rsidR="00CC4963" w:rsidRPr="00110982">
        <w:rPr>
          <w:rFonts w:ascii="Arial Narrow" w:hAnsi="Arial Narrow"/>
          <w:noProof/>
          <w:lang w:val="en-US"/>
        </w:rPr>
        <w:t xml:space="preserve"> to guide priorities and calirfy the governemnt vision on how to link </w:t>
      </w:r>
      <w:r w:rsidR="00624D01">
        <w:rPr>
          <w:rFonts w:ascii="Arial Narrow" w:hAnsi="Arial Narrow"/>
          <w:noProof/>
          <w:lang w:val="en-US"/>
        </w:rPr>
        <w:t>mining and regional development</w:t>
      </w:r>
      <w:r w:rsidR="00CC4963" w:rsidRPr="00110982">
        <w:rPr>
          <w:rFonts w:ascii="Arial Narrow" w:hAnsi="Arial Narrow"/>
          <w:noProof/>
          <w:lang w:val="en-US"/>
        </w:rPr>
        <w:t xml:space="preserve"> goals. </w:t>
      </w:r>
    </w:p>
    <w:p w14:paraId="627DDF03" w14:textId="69C96869" w:rsidR="00CC4963" w:rsidRPr="00110982" w:rsidRDefault="00BD3612" w:rsidP="00CC4963">
      <w:pPr>
        <w:pStyle w:val="ListParagraph"/>
        <w:numPr>
          <w:ilvl w:val="0"/>
          <w:numId w:val="1"/>
        </w:numPr>
        <w:rPr>
          <w:rFonts w:ascii="Arial Narrow" w:hAnsi="Arial Narrow"/>
          <w:noProof/>
          <w:lang w:val="en-US"/>
        </w:rPr>
      </w:pPr>
      <w:r>
        <w:rPr>
          <w:rFonts w:ascii="Arial Narrow" w:hAnsi="Arial Narrow"/>
          <w:noProof/>
          <w:lang w:val="en-US"/>
        </w:rPr>
        <w:t>Benefit sharing a</w:t>
      </w:r>
      <w:r w:rsidR="00CC4963">
        <w:rPr>
          <w:rFonts w:ascii="Arial Narrow" w:hAnsi="Arial Narrow"/>
          <w:noProof/>
          <w:lang w:val="en-US"/>
        </w:rPr>
        <w:t>greements</w:t>
      </w:r>
      <w:r w:rsidR="00CC4963" w:rsidRPr="00110982">
        <w:rPr>
          <w:rFonts w:ascii="Arial Narrow" w:hAnsi="Arial Narrow"/>
          <w:noProof/>
          <w:lang w:val="en-US"/>
        </w:rPr>
        <w:t xml:space="preserve"> with companies </w:t>
      </w:r>
      <w:r>
        <w:rPr>
          <w:rFonts w:ascii="Arial Narrow" w:hAnsi="Arial Narrow"/>
          <w:noProof/>
          <w:lang w:val="en-US"/>
        </w:rPr>
        <w:t xml:space="preserve">should be </w:t>
      </w:r>
      <w:r w:rsidR="00D86587">
        <w:rPr>
          <w:rFonts w:ascii="Arial Narrow" w:hAnsi="Arial Narrow"/>
          <w:noProof/>
          <w:lang w:val="en-US"/>
        </w:rPr>
        <w:t>further</w:t>
      </w:r>
      <w:r w:rsidR="00624D01">
        <w:rPr>
          <w:rFonts w:ascii="Arial Narrow" w:hAnsi="Arial Narrow"/>
          <w:noProof/>
          <w:lang w:val="en-US"/>
        </w:rPr>
        <w:t xml:space="preserve"> </w:t>
      </w:r>
      <w:r>
        <w:rPr>
          <w:rFonts w:ascii="Arial Narrow" w:hAnsi="Arial Narrow"/>
          <w:noProof/>
          <w:lang w:val="en-US"/>
        </w:rPr>
        <w:t>explored</w:t>
      </w:r>
      <w:r w:rsidR="00CC4963" w:rsidRPr="00110982">
        <w:rPr>
          <w:rFonts w:ascii="Arial Narrow" w:hAnsi="Arial Narrow"/>
          <w:noProof/>
          <w:lang w:val="en-US"/>
        </w:rPr>
        <w:t xml:space="preserve"> to ensure </w:t>
      </w:r>
      <w:r w:rsidR="00D86587">
        <w:rPr>
          <w:rFonts w:ascii="Arial Narrow" w:hAnsi="Arial Narrow"/>
          <w:noProof/>
          <w:lang w:val="en-US"/>
        </w:rPr>
        <w:t xml:space="preserve">a </w:t>
      </w:r>
      <w:r w:rsidR="00CC4963" w:rsidRPr="00110982">
        <w:rPr>
          <w:rFonts w:ascii="Arial Narrow" w:hAnsi="Arial Narrow"/>
          <w:noProof/>
          <w:lang w:val="en-US"/>
        </w:rPr>
        <w:t xml:space="preserve">positive legacy </w:t>
      </w:r>
      <w:r w:rsidR="00624D01">
        <w:rPr>
          <w:rFonts w:ascii="Arial Narrow" w:hAnsi="Arial Narrow"/>
          <w:noProof/>
          <w:lang w:val="en-US"/>
        </w:rPr>
        <w:t>of mining in</w:t>
      </w:r>
      <w:r w:rsidR="00CC4963" w:rsidRPr="00110982">
        <w:rPr>
          <w:rFonts w:ascii="Arial Narrow" w:hAnsi="Arial Narrow"/>
          <w:noProof/>
          <w:lang w:val="en-US"/>
        </w:rPr>
        <w:t xml:space="preserve"> the long-term </w:t>
      </w:r>
      <w:r w:rsidR="00624D01">
        <w:rPr>
          <w:rFonts w:ascii="Arial Narrow" w:hAnsi="Arial Narrow"/>
          <w:noProof/>
          <w:lang w:val="en-US"/>
        </w:rPr>
        <w:t xml:space="preserve">regional </w:t>
      </w:r>
      <w:r w:rsidR="00CC4963" w:rsidRPr="00110982">
        <w:rPr>
          <w:rFonts w:ascii="Arial Narrow" w:hAnsi="Arial Narrow"/>
          <w:noProof/>
          <w:lang w:val="en-US"/>
        </w:rPr>
        <w:t>development</w:t>
      </w:r>
      <w:r w:rsidR="00796EF8">
        <w:rPr>
          <w:rFonts w:ascii="Arial Narrow" w:hAnsi="Arial Narrow"/>
          <w:noProof/>
          <w:lang w:val="en-US"/>
        </w:rPr>
        <w:t>.</w:t>
      </w:r>
    </w:p>
    <w:p w14:paraId="07C21125" w14:textId="4346A97D" w:rsidR="00BD3612" w:rsidRDefault="00BD3612" w:rsidP="00CC4963">
      <w:pPr>
        <w:pStyle w:val="ListParagraph"/>
        <w:numPr>
          <w:ilvl w:val="0"/>
          <w:numId w:val="1"/>
        </w:numPr>
        <w:rPr>
          <w:rFonts w:ascii="Arial Narrow" w:hAnsi="Arial Narrow"/>
          <w:noProof/>
          <w:lang w:val="en-US"/>
        </w:rPr>
      </w:pPr>
      <w:r>
        <w:rPr>
          <w:rFonts w:ascii="Arial Narrow" w:hAnsi="Arial Narrow"/>
          <w:noProof/>
          <w:lang w:val="en-US"/>
        </w:rPr>
        <w:t xml:space="preserve">A transparent fiscal system that ensures taxes from mining companies benefit hosting communities and those perceiving negative externalities is of relevance to ensure </w:t>
      </w:r>
      <w:r w:rsidR="00624D01">
        <w:rPr>
          <w:rFonts w:ascii="Arial Narrow" w:hAnsi="Arial Narrow"/>
          <w:noProof/>
          <w:lang w:val="en-US"/>
        </w:rPr>
        <w:t>greater local well-being</w:t>
      </w:r>
      <w:r>
        <w:rPr>
          <w:rFonts w:ascii="Arial Narrow" w:hAnsi="Arial Narrow"/>
          <w:noProof/>
          <w:lang w:val="en-US"/>
        </w:rPr>
        <w:t xml:space="preserve">.  </w:t>
      </w:r>
    </w:p>
    <w:p w14:paraId="30449270" w14:textId="42E1A055" w:rsidR="002B4FE8" w:rsidRPr="00796EF8" w:rsidRDefault="002B4FE8" w:rsidP="006F2ABC">
      <w:pPr>
        <w:spacing w:after="40"/>
        <w:rPr>
          <w:rFonts w:ascii="Arial Narrow" w:hAnsi="Arial Narrow"/>
          <w:b/>
        </w:rPr>
      </w:pPr>
      <w:r w:rsidRPr="00796EF8">
        <w:rPr>
          <w:rFonts w:ascii="Arial Narrow" w:hAnsi="Arial Narrow"/>
          <w:b/>
          <w:bCs/>
          <w:noProof/>
          <w:lang w:val="en-US"/>
        </w:rPr>
        <w:t>Group 3: Social perception and environmental considerations</w:t>
      </w:r>
      <w:r w:rsidR="006F2ABC">
        <w:rPr>
          <w:rFonts w:ascii="Arial Narrow" w:hAnsi="Arial Narrow"/>
          <w:b/>
          <w:bCs/>
          <w:noProof/>
          <w:lang w:val="en-US"/>
        </w:rPr>
        <w:t xml:space="preserve">. </w:t>
      </w:r>
      <w:r w:rsidR="006F2ABC">
        <w:rPr>
          <w:rFonts w:ascii="Arial Narrow" w:hAnsi="Arial Narrow"/>
          <w:noProof/>
          <w:lang w:val="en-US"/>
        </w:rPr>
        <w:t>Common priority actions include:</w:t>
      </w:r>
    </w:p>
    <w:p w14:paraId="4372F461" w14:textId="6EB780D3" w:rsidR="00677CEC" w:rsidRDefault="00E83486" w:rsidP="00CC4963">
      <w:pPr>
        <w:pStyle w:val="ListParagraph"/>
        <w:numPr>
          <w:ilvl w:val="0"/>
          <w:numId w:val="1"/>
        </w:numPr>
        <w:rPr>
          <w:rFonts w:ascii="Arial Narrow" w:hAnsi="Arial Narrow"/>
          <w:noProof/>
          <w:lang w:val="en-US"/>
        </w:rPr>
      </w:pPr>
      <w:r>
        <w:rPr>
          <w:rFonts w:ascii="Arial Narrow" w:hAnsi="Arial Narrow"/>
          <w:noProof/>
          <w:lang w:val="en-US"/>
        </w:rPr>
        <w:t>School e</w:t>
      </w:r>
      <w:r w:rsidR="00677CEC">
        <w:rPr>
          <w:rFonts w:ascii="Arial Narrow" w:hAnsi="Arial Narrow"/>
          <w:noProof/>
          <w:lang w:val="en-US"/>
        </w:rPr>
        <w:t xml:space="preserve">ducation </w:t>
      </w:r>
      <w:r w:rsidR="00F92460">
        <w:rPr>
          <w:rFonts w:ascii="Arial Narrow" w:hAnsi="Arial Narrow"/>
          <w:noProof/>
          <w:lang w:val="en-US"/>
        </w:rPr>
        <w:t xml:space="preserve">programmes to raise awareness on the importance of minerals for everyday life and to address misinformation regarding mining is essential in improving social acceptance. Currently, </w:t>
      </w:r>
      <w:r>
        <w:rPr>
          <w:rFonts w:ascii="Arial Narrow" w:hAnsi="Arial Narrow"/>
          <w:noProof/>
          <w:lang w:val="en-US"/>
        </w:rPr>
        <w:t>mainstream education on mining is mostly related to</w:t>
      </w:r>
      <w:r w:rsidR="00F92460">
        <w:rPr>
          <w:rFonts w:ascii="Arial Narrow" w:hAnsi="Arial Narrow"/>
          <w:noProof/>
          <w:lang w:val="en-US"/>
        </w:rPr>
        <w:t xml:space="preserve"> negative environmental hazard</w:t>
      </w:r>
      <w:r w:rsidR="00D86587">
        <w:rPr>
          <w:rFonts w:ascii="Arial Narrow" w:hAnsi="Arial Narrow"/>
          <w:noProof/>
          <w:lang w:val="en-US"/>
        </w:rPr>
        <w:t>s</w:t>
      </w:r>
      <w:r>
        <w:rPr>
          <w:rFonts w:ascii="Arial Narrow" w:hAnsi="Arial Narrow"/>
          <w:noProof/>
          <w:lang w:val="en-US"/>
        </w:rPr>
        <w:t>. A balanced narrative is required.</w:t>
      </w:r>
    </w:p>
    <w:p w14:paraId="0D9DA17E" w14:textId="69DCA865" w:rsidR="00003D73" w:rsidRPr="00B7520A" w:rsidRDefault="00003D73" w:rsidP="00E83486">
      <w:pPr>
        <w:pStyle w:val="ListParagraph"/>
        <w:numPr>
          <w:ilvl w:val="0"/>
          <w:numId w:val="1"/>
        </w:numPr>
        <w:rPr>
          <w:rFonts w:ascii="Arial Narrow" w:hAnsi="Arial Narrow"/>
          <w:noProof/>
          <w:lang w:val="en-US"/>
        </w:rPr>
      </w:pPr>
      <w:r>
        <w:rPr>
          <w:rFonts w:ascii="Arial Narrow" w:hAnsi="Arial Narrow"/>
          <w:noProof/>
          <w:lang w:val="en-US"/>
        </w:rPr>
        <w:t>Increased company-community collaboration through information session</w:t>
      </w:r>
      <w:r w:rsidR="00170F66">
        <w:rPr>
          <w:rFonts w:ascii="Arial Narrow" w:hAnsi="Arial Narrow"/>
          <w:noProof/>
          <w:lang w:val="en-US"/>
        </w:rPr>
        <w:t>s</w:t>
      </w:r>
      <w:r>
        <w:rPr>
          <w:rFonts w:ascii="Arial Narrow" w:hAnsi="Arial Narrow"/>
          <w:noProof/>
          <w:lang w:val="en-US"/>
        </w:rPr>
        <w:t>, impact-benefit agreements, and strong ESG programmes are essential to increase trust and transparency for mining projects, which is currently lacking.</w:t>
      </w:r>
    </w:p>
    <w:p w14:paraId="3B09CE1F" w14:textId="075A05A0" w:rsidR="00624D01" w:rsidRPr="00624D01" w:rsidRDefault="00624D01" w:rsidP="00624D01">
      <w:pPr>
        <w:pStyle w:val="ListParagraph"/>
        <w:numPr>
          <w:ilvl w:val="0"/>
          <w:numId w:val="1"/>
        </w:numPr>
        <w:rPr>
          <w:rFonts w:ascii="Arial Narrow" w:hAnsi="Arial Narrow"/>
          <w:noProof/>
          <w:lang w:val="en-US"/>
        </w:rPr>
      </w:pPr>
      <w:r>
        <w:rPr>
          <w:rFonts w:ascii="Arial Narrow" w:hAnsi="Arial Narrow"/>
          <w:noProof/>
          <w:lang w:val="en-US"/>
        </w:rPr>
        <w:t>Continious and transparent environmental monitoring is needed  to address missconceptions about mining and mitigate negative environmental effects</w:t>
      </w:r>
    </w:p>
    <w:p w14:paraId="73A1D4A2" w14:textId="133A7915" w:rsidR="009420ED" w:rsidRDefault="009420ED" w:rsidP="006F2ABC">
      <w:pPr>
        <w:spacing w:after="40"/>
        <w:rPr>
          <w:rFonts w:ascii="Arial Narrow" w:hAnsi="Arial Narrow"/>
          <w:b/>
          <w:bCs/>
        </w:rPr>
      </w:pPr>
      <w:r w:rsidRPr="009420ED">
        <w:rPr>
          <w:rFonts w:ascii="Arial Narrow" w:hAnsi="Arial Narrow"/>
          <w:b/>
          <w:bCs/>
        </w:rPr>
        <w:t xml:space="preserve">Group </w:t>
      </w:r>
      <w:r>
        <w:rPr>
          <w:rFonts w:ascii="Arial Narrow" w:hAnsi="Arial Narrow"/>
          <w:b/>
          <w:bCs/>
        </w:rPr>
        <w:t>4</w:t>
      </w:r>
      <w:r w:rsidRPr="009420ED">
        <w:rPr>
          <w:rFonts w:ascii="Arial Narrow" w:hAnsi="Arial Narrow"/>
          <w:b/>
          <w:bCs/>
        </w:rPr>
        <w:t xml:space="preserve">:  </w:t>
      </w:r>
      <w:r>
        <w:rPr>
          <w:rFonts w:ascii="Arial Narrow" w:hAnsi="Arial Narrow"/>
          <w:b/>
          <w:bCs/>
        </w:rPr>
        <w:t>Innovation and circular economy</w:t>
      </w:r>
      <w:r w:rsidR="006F2ABC">
        <w:rPr>
          <w:rFonts w:ascii="Arial Narrow" w:hAnsi="Arial Narrow"/>
          <w:b/>
          <w:bCs/>
        </w:rPr>
        <w:t xml:space="preserve">. </w:t>
      </w:r>
      <w:r w:rsidR="006F2ABC">
        <w:rPr>
          <w:rFonts w:ascii="Arial Narrow" w:hAnsi="Arial Narrow"/>
          <w:noProof/>
          <w:lang w:val="en-US"/>
        </w:rPr>
        <w:t>Common priority actions include:</w:t>
      </w:r>
    </w:p>
    <w:p w14:paraId="3DDEDF9F" w14:textId="0D22CB27" w:rsidR="009420ED" w:rsidRPr="009420ED" w:rsidRDefault="006F2ABC" w:rsidP="009420ED">
      <w:pPr>
        <w:pStyle w:val="ListParagraph"/>
        <w:numPr>
          <w:ilvl w:val="0"/>
          <w:numId w:val="1"/>
        </w:numPr>
        <w:rPr>
          <w:rFonts w:ascii="Arial Narrow" w:hAnsi="Arial Narrow"/>
          <w:noProof/>
          <w:lang w:val="en-US"/>
        </w:rPr>
      </w:pPr>
      <w:r w:rsidRPr="006F2ABC">
        <w:rPr>
          <w:rFonts w:ascii="Arial Narrow" w:hAnsi="Arial Narrow"/>
          <w:noProof/>
          <w:lang w:val="en-US"/>
        </w:rPr>
        <w:t xml:space="preserve">Integrating SMEs and entrepreneurs into circular economy and green mining innovation projects </w:t>
      </w:r>
      <w:r>
        <w:rPr>
          <w:rFonts w:ascii="Arial Narrow" w:hAnsi="Arial Narrow"/>
          <w:noProof/>
          <w:lang w:val="en-US"/>
        </w:rPr>
        <w:t xml:space="preserve">help </w:t>
      </w:r>
      <w:r w:rsidRPr="006F2ABC">
        <w:rPr>
          <w:rFonts w:ascii="Arial Narrow" w:hAnsi="Arial Narrow"/>
          <w:noProof/>
          <w:lang w:val="en-US"/>
        </w:rPr>
        <w:t>ensure research materiali</w:t>
      </w:r>
      <w:r w:rsidR="006E6D1B">
        <w:rPr>
          <w:rFonts w:ascii="Arial Narrow" w:hAnsi="Arial Narrow"/>
          <w:noProof/>
          <w:lang w:val="en-US"/>
        </w:rPr>
        <w:t>s</w:t>
      </w:r>
      <w:r w:rsidRPr="006F2ABC">
        <w:rPr>
          <w:rFonts w:ascii="Arial Narrow" w:hAnsi="Arial Narrow"/>
          <w:noProof/>
          <w:lang w:val="en-US"/>
        </w:rPr>
        <w:t>es into local business opportunities</w:t>
      </w:r>
      <w:r>
        <w:rPr>
          <w:rFonts w:ascii="Arial Narrow" w:hAnsi="Arial Narrow"/>
          <w:noProof/>
          <w:lang w:val="en-US"/>
        </w:rPr>
        <w:t xml:space="preserve">. </w:t>
      </w:r>
    </w:p>
    <w:p w14:paraId="4A5F92B0" w14:textId="0E3A3176" w:rsidR="002B1701" w:rsidRDefault="002C6A36" w:rsidP="002C6A36">
      <w:pPr>
        <w:pStyle w:val="ListParagraph"/>
        <w:numPr>
          <w:ilvl w:val="0"/>
          <w:numId w:val="1"/>
        </w:numPr>
        <w:rPr>
          <w:rFonts w:ascii="Arial Narrow" w:hAnsi="Arial Narrow"/>
          <w:noProof/>
          <w:lang w:val="en-US"/>
        </w:rPr>
      </w:pPr>
      <w:r>
        <w:rPr>
          <w:rFonts w:ascii="Arial Narrow" w:hAnsi="Arial Narrow"/>
          <w:noProof/>
          <w:lang w:val="en-US"/>
        </w:rPr>
        <w:t xml:space="preserve">Regional </w:t>
      </w:r>
      <w:r w:rsidR="006E6D1B">
        <w:rPr>
          <w:rFonts w:ascii="Arial Narrow" w:hAnsi="Arial Narrow"/>
          <w:noProof/>
          <w:lang w:val="en-US"/>
        </w:rPr>
        <w:t>governments</w:t>
      </w:r>
      <w:r>
        <w:rPr>
          <w:rFonts w:ascii="Arial Narrow" w:hAnsi="Arial Narrow"/>
          <w:noProof/>
          <w:lang w:val="en-US"/>
        </w:rPr>
        <w:t xml:space="preserve"> can connect mining companies’ untapped opportunities on circularity with companies or researche</w:t>
      </w:r>
      <w:r w:rsidR="006E6D1B">
        <w:rPr>
          <w:rFonts w:ascii="Arial Narrow" w:hAnsi="Arial Narrow"/>
          <w:noProof/>
          <w:lang w:val="en-US"/>
        </w:rPr>
        <w:t>r</w:t>
      </w:r>
      <w:r>
        <w:rPr>
          <w:rFonts w:ascii="Arial Narrow" w:hAnsi="Arial Narrow"/>
          <w:noProof/>
          <w:lang w:val="en-US"/>
        </w:rPr>
        <w:t xml:space="preserve">s wiling to find bussiness solutions. Scale and distance to markets is a priority to address.  </w:t>
      </w:r>
    </w:p>
    <w:p w14:paraId="7F6EA83C" w14:textId="7D3E5110" w:rsidR="00FB503E" w:rsidRDefault="002C6A36" w:rsidP="00497A95">
      <w:pPr>
        <w:pStyle w:val="ListParagraph"/>
        <w:numPr>
          <w:ilvl w:val="0"/>
          <w:numId w:val="1"/>
        </w:numPr>
        <w:rPr>
          <w:rFonts w:ascii="Arial Narrow" w:hAnsi="Arial Narrow"/>
          <w:noProof/>
          <w:lang w:val="en-US"/>
        </w:rPr>
      </w:pPr>
      <w:r>
        <w:rPr>
          <w:rFonts w:ascii="Arial Narrow" w:hAnsi="Arial Narrow"/>
          <w:noProof/>
          <w:lang w:val="en-US"/>
        </w:rPr>
        <w:t>Access to finance, incentives or grants to support bussiness for circular mining is needed to mitigate risks</w:t>
      </w:r>
      <w:r w:rsidR="00376582">
        <w:rPr>
          <w:rFonts w:ascii="Arial Narrow" w:hAnsi="Arial Narrow"/>
          <w:noProof/>
          <w:lang w:val="en-US"/>
        </w:rPr>
        <w:t>.</w:t>
      </w:r>
    </w:p>
    <w:p w14:paraId="0BCB4469" w14:textId="4C20ABCE" w:rsidR="004352D2" w:rsidRPr="00677CEC" w:rsidRDefault="00AF4438" w:rsidP="00677CEC">
      <w:pPr>
        <w:rPr>
          <w:rFonts w:ascii="Arial Narrow" w:hAnsi="Arial Narrow"/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E78A027" wp14:editId="46207BB5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861685" cy="1712595"/>
                <wp:effectExtent l="0" t="0" r="24765" b="20955"/>
                <wp:wrapTopAndBottom/>
                <wp:docPr id="360827754" name="Text Box 360827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685" cy="1712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2E4CA193" w14:textId="77777777" w:rsidR="006F2ABC" w:rsidRPr="0041555B" w:rsidRDefault="006F2ABC" w:rsidP="006F2AB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41555B"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Next steps</w:t>
                            </w:r>
                          </w:p>
                          <w:p w14:paraId="4CDF466A" w14:textId="3449497F" w:rsidR="006F2ABC" w:rsidRPr="006F2ABC" w:rsidRDefault="00000000" w:rsidP="006F2A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</w:pPr>
                            <w:hyperlink r:id="rId27" w:history="1">
                              <w:r w:rsidR="006F2ABC" w:rsidRPr="006F2ABC">
                                <w:rPr>
                                  <w:rStyle w:val="Hyperlink"/>
                                  <w:rFonts w:ascii="Arial Narrow" w:hAnsi="Arial Narrow"/>
                                  <w:noProof/>
                                  <w:sz w:val="21"/>
                                  <w:szCs w:val="21"/>
                                </w:rPr>
                                <w:t>2024 OECD Conference of Mining Regions and Cities</w:t>
                              </w:r>
                            </w:hyperlink>
                            <w:r w:rsidR="006F2ABC" w:rsidRPr="006F2ABC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 to be hosted 8-11 October in Greater Sudbury, Canada. This Conference will </w:t>
                            </w:r>
                            <w:r w:rsidR="002C6A36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be an </w:t>
                            </w:r>
                            <w:r w:rsidR="00631F79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opportunity</w:t>
                            </w:r>
                            <w:r w:rsidR="002C6A36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 to </w:t>
                            </w:r>
                            <w:r w:rsidR="00631F79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benchmark</w:t>
                            </w:r>
                            <w:r w:rsidR="002C6A36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31F79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preliminary</w:t>
                            </w:r>
                            <w:r w:rsidR="002C6A36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 findings of this TSI project and share </w:t>
                            </w:r>
                            <w:r w:rsidR="006F2ABC" w:rsidRPr="006F2ABC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EU regions</w:t>
                            </w:r>
                            <w:r w:rsidR="00631F79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’</w:t>
                            </w:r>
                            <w:r w:rsidR="006F2ABC" w:rsidRPr="006F2ABC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C6A36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good</w:t>
                            </w:r>
                            <w:r w:rsidR="006F2ABC" w:rsidRPr="006F2ABC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 practices </w:t>
                            </w:r>
                            <w:r w:rsidR="002C6A36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for</w:t>
                            </w:r>
                            <w:r w:rsidR="006F2ABC" w:rsidRPr="006F2ABC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 establishing mining ecosystems that benefit economic, social, and environmental wellbeing. </w:t>
                            </w:r>
                            <w:hyperlink r:id="rId28" w:history="1">
                              <w:r w:rsidR="002C6A36">
                                <w:rPr>
                                  <w:rStyle w:val="Hyperlink"/>
                                  <w:rFonts w:ascii="Arial Narrow" w:hAnsi="Arial Narrow"/>
                                  <w:noProof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F2ABC" w:rsidRPr="006F2ABC">
                                <w:rPr>
                                  <w:rStyle w:val="Hyperlink"/>
                                  <w:rFonts w:ascii="Arial Narrow" w:hAnsi="Arial Narrow"/>
                                  <w:noProof/>
                                  <w:sz w:val="21"/>
                                  <w:szCs w:val="21"/>
                                </w:rPr>
                                <w:t>egister for the conference here.</w:t>
                              </w:r>
                            </w:hyperlink>
                            <w:r w:rsidR="006F2ABC" w:rsidRPr="006F2ABC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C9D2B53" w14:textId="3A299CC1" w:rsidR="006F2ABC" w:rsidRPr="006F2ABC" w:rsidRDefault="002C6A36" w:rsidP="006F2A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In November, </w:t>
                            </w:r>
                            <w:r w:rsidR="00EB2C61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 inter-r</w:t>
                            </w:r>
                            <w:r w:rsidR="006F2ABC" w:rsidRPr="006F2ABC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egional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w</w:t>
                            </w:r>
                            <w:r w:rsidR="006F2ABC" w:rsidRPr="006F2ABC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orkshop in Bordeaux, France</w:t>
                            </w:r>
                            <w:r w:rsidR="00EB2C61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 supported by TAIEX</w:t>
                            </w:r>
                            <w:r w:rsidR="00311023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493C853" w14:textId="7F1FB38C" w:rsidR="006F2ABC" w:rsidRPr="006F2ABC" w:rsidRDefault="00EB17E1" w:rsidP="006F2A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Between </w:t>
                            </w:r>
                            <w:r w:rsidR="00631F79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January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 and February,</w:t>
                            </w:r>
                            <w:r w:rsidR="006F2ABC" w:rsidRPr="006F2ABC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 2025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, a</w:t>
                            </w:r>
                            <w:r w:rsidR="006F2ABC" w:rsidRPr="006F2ABC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 meeting in Brussels to align on final results and findings of the project.</w:t>
                            </w:r>
                          </w:p>
                          <w:p w14:paraId="5478E255" w14:textId="493C7872" w:rsidR="006F2ABC" w:rsidRPr="006F2ABC" w:rsidRDefault="006F2ABC" w:rsidP="006F2A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</w:pPr>
                            <w:r w:rsidRPr="006F2ABC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Launch of project in summer 2025</w:t>
                            </w:r>
                            <w:r w:rsidR="00EB17E1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 in Lapland, </w:t>
                            </w:r>
                            <w:r w:rsidR="00631F79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Finland</w:t>
                            </w:r>
                            <w:r w:rsidRPr="006F2ABC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8A027" id="_x0000_t202" coordsize="21600,21600" o:spt="202" path="m,l,21600r21600,l21600,xe">
                <v:stroke joinstyle="miter"/>
                <v:path gradientshapeok="t" o:connecttype="rect"/>
              </v:shapetype>
              <v:shape id="Text Box 360827754" o:spid="_x0000_s1030" type="#_x0000_t202" style="position:absolute;margin-left:0;margin-top:30.5pt;width:461.55pt;height:134.8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" fillcolor="#d9e2f3 [660]" strokecolor="#d9e2f3 [660]" strokeweight=".5pt">
                <v:textbox>
                  <w:txbxContent>
                    <w:p w14:paraId="2E4CA193" w14:textId="77777777" w:rsidR="006F2ABC" w:rsidRPr="0041555B" w:rsidRDefault="006F2ABC" w:rsidP="006F2ABC">
                      <w:pPr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41555B"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Next steps</w:t>
                      </w:r>
                    </w:p>
                    <w:p w14:paraId="4CDF466A" w14:textId="3449497F" w:rsidR="006F2ABC" w:rsidRPr="006F2ABC" w:rsidRDefault="009D179F" w:rsidP="006F2A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</w:pPr>
                      <w:hyperlink r:id="rId29" w:history="1">
                        <w:r w:rsidR="006F2ABC" w:rsidRPr="006F2ABC">
                          <w:rPr>
                            <w:rStyle w:val="Hyperlink"/>
                            <w:rFonts w:ascii="Arial Narrow" w:hAnsi="Arial Narrow"/>
                            <w:noProof/>
                            <w:sz w:val="21"/>
                            <w:szCs w:val="21"/>
                          </w:rPr>
                          <w:t>2024 OECD Conference of Mining Regions and Cities</w:t>
                        </w:r>
                      </w:hyperlink>
                      <w:r w:rsidR="006F2ABC" w:rsidRPr="006F2ABC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 to be hosted 8-11 October in Greater Sudbury, Canada. This Conference will </w:t>
                      </w:r>
                      <w:r w:rsidR="002C6A36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be an </w:t>
                      </w:r>
                      <w:r w:rsidR="00631F79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>opportunity</w:t>
                      </w:r>
                      <w:r w:rsidR="002C6A36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 to </w:t>
                      </w:r>
                      <w:r w:rsidR="00631F79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>benchmark</w:t>
                      </w:r>
                      <w:r w:rsidR="002C6A36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 </w:t>
                      </w:r>
                      <w:r w:rsidR="00631F79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>preliminary</w:t>
                      </w:r>
                      <w:r w:rsidR="002C6A36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 findings of this TSI project and share </w:t>
                      </w:r>
                      <w:r w:rsidR="006F2ABC" w:rsidRPr="006F2ABC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>EU regions</w:t>
                      </w:r>
                      <w:r w:rsidR="00631F79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>’</w:t>
                      </w:r>
                      <w:r w:rsidR="006F2ABC" w:rsidRPr="006F2ABC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 </w:t>
                      </w:r>
                      <w:r w:rsidR="002C6A36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>good</w:t>
                      </w:r>
                      <w:r w:rsidR="006F2ABC" w:rsidRPr="006F2ABC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 practices </w:t>
                      </w:r>
                      <w:r w:rsidR="002C6A36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>for</w:t>
                      </w:r>
                      <w:r w:rsidR="006F2ABC" w:rsidRPr="006F2ABC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 establishing mining ecosystems that benefit economic, social, and environmental wellbeing. </w:t>
                      </w:r>
                      <w:hyperlink r:id="rId30" w:history="1">
                        <w:r w:rsidR="002C6A36">
                          <w:rPr>
                            <w:rStyle w:val="Hyperlink"/>
                            <w:rFonts w:ascii="Arial Narrow" w:hAnsi="Arial Narrow"/>
                            <w:noProof/>
                            <w:sz w:val="21"/>
                            <w:szCs w:val="21"/>
                          </w:rPr>
                          <w:t>R</w:t>
                        </w:r>
                        <w:r w:rsidR="006F2ABC" w:rsidRPr="006F2ABC">
                          <w:rPr>
                            <w:rStyle w:val="Hyperlink"/>
                            <w:rFonts w:ascii="Arial Narrow" w:hAnsi="Arial Narrow"/>
                            <w:noProof/>
                            <w:sz w:val="21"/>
                            <w:szCs w:val="21"/>
                          </w:rPr>
                          <w:t>egister for the conference here.</w:t>
                        </w:r>
                      </w:hyperlink>
                      <w:r w:rsidR="006F2ABC" w:rsidRPr="006F2ABC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C9D2B53" w14:textId="3A299CC1" w:rsidR="006F2ABC" w:rsidRPr="006F2ABC" w:rsidRDefault="002C6A36" w:rsidP="006F2A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In November, </w:t>
                      </w:r>
                      <w:r w:rsidR="00EB2C61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 inter-r</w:t>
                      </w:r>
                      <w:r w:rsidR="006F2ABC" w:rsidRPr="006F2ABC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egional </w:t>
                      </w:r>
                      <w:r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>w</w:t>
                      </w:r>
                      <w:r w:rsidR="006F2ABC" w:rsidRPr="006F2ABC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>orkshop in Bordeaux, France</w:t>
                      </w:r>
                      <w:r w:rsidR="00EB2C61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 supported by TAIEX</w:t>
                      </w:r>
                      <w:r w:rsidR="00311023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>.</w:t>
                      </w:r>
                    </w:p>
                    <w:p w14:paraId="2493C853" w14:textId="7F1FB38C" w:rsidR="006F2ABC" w:rsidRPr="006F2ABC" w:rsidRDefault="00EB17E1" w:rsidP="006F2A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Between </w:t>
                      </w:r>
                      <w:r w:rsidR="00631F79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>January</w:t>
                      </w:r>
                      <w:r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 and February,</w:t>
                      </w:r>
                      <w:r w:rsidR="006F2ABC" w:rsidRPr="006F2ABC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 2025</w:t>
                      </w:r>
                      <w:r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>, a</w:t>
                      </w:r>
                      <w:r w:rsidR="006F2ABC" w:rsidRPr="006F2ABC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 meeting in Brussels to align on final results and findings of the project.</w:t>
                      </w:r>
                    </w:p>
                    <w:p w14:paraId="5478E255" w14:textId="493C7872" w:rsidR="006F2ABC" w:rsidRPr="006F2ABC" w:rsidRDefault="006F2ABC" w:rsidP="006F2A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</w:pPr>
                      <w:r w:rsidRPr="006F2ABC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>Launch of project in summer 2025</w:t>
                      </w:r>
                      <w:r w:rsidR="00EB17E1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 in Lapland, </w:t>
                      </w:r>
                      <w:r w:rsidR="00631F79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>Finland</w:t>
                      </w:r>
                      <w:r w:rsidRPr="006F2ABC">
                        <w:rPr>
                          <w:rFonts w:ascii="Arial Narrow" w:hAnsi="Arial Narrow"/>
                          <w:noProof/>
                          <w:sz w:val="21"/>
                          <w:szCs w:val="21"/>
                        </w:rPr>
                        <w:t xml:space="preserve">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7CEC">
        <w:fldChar w:fldCharType="begin"/>
      </w:r>
      <w:r w:rsidR="00677CEC">
        <w:instrText xml:space="preserve"> INCLUDEPICTURE "https://oecd.github.io/OECD-covid-action-map/img/OECD_20cm_w.png" \* MERGEFORMATINET </w:instrText>
      </w:r>
      <w:r w:rsidR="00000000">
        <w:fldChar w:fldCharType="separate"/>
      </w:r>
      <w:r w:rsidR="00677CEC">
        <w:fldChar w:fldCharType="end"/>
      </w:r>
      <w:r w:rsidR="00677CEC">
        <w:fldChar w:fldCharType="begin"/>
      </w:r>
      <w:r w:rsidR="00677CEC">
        <w:instrText xml:space="preserve"> INCLUDEPICTURE "https://upload.wikimedia.org/wikipedia/commons/thumb/a/a2/OECD_logo.svg/2560px-OECD_logo.svg.png" \* MERGEFORMATINET </w:instrText>
      </w:r>
      <w:r w:rsidR="00000000">
        <w:fldChar w:fldCharType="separate"/>
      </w:r>
      <w:r w:rsidR="00677CEC">
        <w:fldChar w:fldCharType="end"/>
      </w:r>
    </w:p>
    <w:sectPr w:rsidR="004352D2" w:rsidRPr="00677CEC" w:rsidSect="00A00A6E">
      <w:pgSz w:w="11906" w:h="16838"/>
      <w:pgMar w:top="1440" w:right="1440" w:bottom="1440" w:left="1440" w:header="45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0246" w14:textId="77777777" w:rsidR="004125B5" w:rsidRDefault="004125B5" w:rsidP="00CC4963">
      <w:pPr>
        <w:spacing w:after="0" w:line="240" w:lineRule="auto"/>
      </w:pPr>
      <w:r>
        <w:separator/>
      </w:r>
    </w:p>
  </w:endnote>
  <w:endnote w:type="continuationSeparator" w:id="0">
    <w:p w14:paraId="5FAC633E" w14:textId="77777777" w:rsidR="004125B5" w:rsidRDefault="004125B5" w:rsidP="00CC4963">
      <w:pPr>
        <w:spacing w:after="0" w:line="240" w:lineRule="auto"/>
      </w:pPr>
      <w:r>
        <w:continuationSeparator/>
      </w:r>
    </w:p>
  </w:endnote>
  <w:endnote w:type="continuationNotice" w:id="1">
    <w:p w14:paraId="7F8946F1" w14:textId="77777777" w:rsidR="004125B5" w:rsidRDefault="004125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E5B4" w14:textId="77777777" w:rsidR="004125B5" w:rsidRDefault="004125B5" w:rsidP="00CC4963">
      <w:pPr>
        <w:spacing w:after="0" w:line="240" w:lineRule="auto"/>
      </w:pPr>
      <w:r>
        <w:separator/>
      </w:r>
    </w:p>
  </w:footnote>
  <w:footnote w:type="continuationSeparator" w:id="0">
    <w:p w14:paraId="4F380226" w14:textId="77777777" w:rsidR="004125B5" w:rsidRDefault="004125B5" w:rsidP="00CC4963">
      <w:pPr>
        <w:spacing w:after="0" w:line="240" w:lineRule="auto"/>
      </w:pPr>
      <w:r>
        <w:continuationSeparator/>
      </w:r>
    </w:p>
  </w:footnote>
  <w:footnote w:type="continuationNotice" w:id="1">
    <w:p w14:paraId="3CFD30D8" w14:textId="77777777" w:rsidR="004125B5" w:rsidRDefault="004125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B1E"/>
    <w:multiLevelType w:val="hybridMultilevel"/>
    <w:tmpl w:val="1290636C"/>
    <w:lvl w:ilvl="0" w:tplc="8578B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351A"/>
    <w:multiLevelType w:val="hybridMultilevel"/>
    <w:tmpl w:val="EDC099EE"/>
    <w:lvl w:ilvl="0" w:tplc="8578B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1CA9"/>
    <w:multiLevelType w:val="hybridMultilevel"/>
    <w:tmpl w:val="84203E0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7643D13"/>
    <w:multiLevelType w:val="hybridMultilevel"/>
    <w:tmpl w:val="10FC034E"/>
    <w:lvl w:ilvl="0" w:tplc="8578B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205D1"/>
    <w:multiLevelType w:val="hybridMultilevel"/>
    <w:tmpl w:val="81448DA0"/>
    <w:lvl w:ilvl="0" w:tplc="8578B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EB4381"/>
    <w:multiLevelType w:val="hybridMultilevel"/>
    <w:tmpl w:val="BD608886"/>
    <w:lvl w:ilvl="0" w:tplc="44A26A6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B1193"/>
    <w:multiLevelType w:val="hybridMultilevel"/>
    <w:tmpl w:val="9ABEF5F0"/>
    <w:lvl w:ilvl="0" w:tplc="8578B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96D28"/>
    <w:multiLevelType w:val="hybridMultilevel"/>
    <w:tmpl w:val="B4444690"/>
    <w:lvl w:ilvl="0" w:tplc="8578B25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44813F8"/>
    <w:multiLevelType w:val="hybridMultilevel"/>
    <w:tmpl w:val="A4946ED8"/>
    <w:lvl w:ilvl="0" w:tplc="8578B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896660"/>
    <w:multiLevelType w:val="hybridMultilevel"/>
    <w:tmpl w:val="798A3BCA"/>
    <w:lvl w:ilvl="0" w:tplc="8578B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3414E"/>
    <w:multiLevelType w:val="hybridMultilevel"/>
    <w:tmpl w:val="C1882ED0"/>
    <w:lvl w:ilvl="0" w:tplc="8578B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34762"/>
    <w:multiLevelType w:val="hybridMultilevel"/>
    <w:tmpl w:val="7078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964613">
    <w:abstractNumId w:val="3"/>
  </w:num>
  <w:num w:numId="2" w16cid:durableId="742919187">
    <w:abstractNumId w:val="10"/>
  </w:num>
  <w:num w:numId="3" w16cid:durableId="703485592">
    <w:abstractNumId w:val="5"/>
  </w:num>
  <w:num w:numId="4" w16cid:durableId="176503727">
    <w:abstractNumId w:val="11"/>
  </w:num>
  <w:num w:numId="5" w16cid:durableId="1346127137">
    <w:abstractNumId w:val="6"/>
  </w:num>
  <w:num w:numId="6" w16cid:durableId="1405756886">
    <w:abstractNumId w:val="7"/>
  </w:num>
  <w:num w:numId="7" w16cid:durableId="133955713">
    <w:abstractNumId w:val="1"/>
  </w:num>
  <w:num w:numId="8" w16cid:durableId="257564359">
    <w:abstractNumId w:val="0"/>
  </w:num>
  <w:num w:numId="9" w16cid:durableId="2059160983">
    <w:abstractNumId w:val="8"/>
  </w:num>
  <w:num w:numId="10" w16cid:durableId="469322585">
    <w:abstractNumId w:val="9"/>
  </w:num>
  <w:num w:numId="11" w16cid:durableId="399207545">
    <w:abstractNumId w:val="4"/>
  </w:num>
  <w:num w:numId="12" w16cid:durableId="1742410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58"/>
    <w:rsid w:val="00003D73"/>
    <w:rsid w:val="00012ACA"/>
    <w:rsid w:val="00026A21"/>
    <w:rsid w:val="00086372"/>
    <w:rsid w:val="000E4096"/>
    <w:rsid w:val="000E76EB"/>
    <w:rsid w:val="000F2368"/>
    <w:rsid w:val="000F558A"/>
    <w:rsid w:val="00110982"/>
    <w:rsid w:val="0011410B"/>
    <w:rsid w:val="001365EA"/>
    <w:rsid w:val="00170F66"/>
    <w:rsid w:val="001B76A3"/>
    <w:rsid w:val="001D64EE"/>
    <w:rsid w:val="001F1E00"/>
    <w:rsid w:val="0020573C"/>
    <w:rsid w:val="002B1701"/>
    <w:rsid w:val="002B4FE8"/>
    <w:rsid w:val="002C6A36"/>
    <w:rsid w:val="002D2371"/>
    <w:rsid w:val="002E564F"/>
    <w:rsid w:val="003069C1"/>
    <w:rsid w:val="00311023"/>
    <w:rsid w:val="00325EDD"/>
    <w:rsid w:val="003720C9"/>
    <w:rsid w:val="003725C6"/>
    <w:rsid w:val="00376582"/>
    <w:rsid w:val="00395368"/>
    <w:rsid w:val="003A4BAE"/>
    <w:rsid w:val="004125B5"/>
    <w:rsid w:val="0041555B"/>
    <w:rsid w:val="004352D2"/>
    <w:rsid w:val="00440F09"/>
    <w:rsid w:val="00454C04"/>
    <w:rsid w:val="00476AF7"/>
    <w:rsid w:val="00497A95"/>
    <w:rsid w:val="004A0BE1"/>
    <w:rsid w:val="00514997"/>
    <w:rsid w:val="00534542"/>
    <w:rsid w:val="00547137"/>
    <w:rsid w:val="0062133F"/>
    <w:rsid w:val="00624D01"/>
    <w:rsid w:val="00631F79"/>
    <w:rsid w:val="00632FA6"/>
    <w:rsid w:val="00636992"/>
    <w:rsid w:val="00645CAA"/>
    <w:rsid w:val="0067063F"/>
    <w:rsid w:val="0067650A"/>
    <w:rsid w:val="00677CEC"/>
    <w:rsid w:val="00687F3A"/>
    <w:rsid w:val="006B1D58"/>
    <w:rsid w:val="006E6D1B"/>
    <w:rsid w:val="006F2ABC"/>
    <w:rsid w:val="006F77A1"/>
    <w:rsid w:val="00704D0D"/>
    <w:rsid w:val="00721499"/>
    <w:rsid w:val="007645FD"/>
    <w:rsid w:val="00774D27"/>
    <w:rsid w:val="00796CF7"/>
    <w:rsid w:val="00796EF8"/>
    <w:rsid w:val="007A3964"/>
    <w:rsid w:val="007B3771"/>
    <w:rsid w:val="007D24E6"/>
    <w:rsid w:val="00804B7E"/>
    <w:rsid w:val="00825146"/>
    <w:rsid w:val="00831317"/>
    <w:rsid w:val="00894E2B"/>
    <w:rsid w:val="008966F3"/>
    <w:rsid w:val="008B121A"/>
    <w:rsid w:val="00906A76"/>
    <w:rsid w:val="009420ED"/>
    <w:rsid w:val="00946D15"/>
    <w:rsid w:val="00950BE1"/>
    <w:rsid w:val="00966C78"/>
    <w:rsid w:val="00990425"/>
    <w:rsid w:val="00996BCC"/>
    <w:rsid w:val="009E20BB"/>
    <w:rsid w:val="009E31AD"/>
    <w:rsid w:val="00A00A6E"/>
    <w:rsid w:val="00A32814"/>
    <w:rsid w:val="00A537D6"/>
    <w:rsid w:val="00A83460"/>
    <w:rsid w:val="00A860CE"/>
    <w:rsid w:val="00A96AE4"/>
    <w:rsid w:val="00AA4E7C"/>
    <w:rsid w:val="00AC7635"/>
    <w:rsid w:val="00AF4438"/>
    <w:rsid w:val="00AF6880"/>
    <w:rsid w:val="00B25A7F"/>
    <w:rsid w:val="00B270FC"/>
    <w:rsid w:val="00B40A29"/>
    <w:rsid w:val="00B46F06"/>
    <w:rsid w:val="00B577EB"/>
    <w:rsid w:val="00B5799F"/>
    <w:rsid w:val="00B66B02"/>
    <w:rsid w:val="00B74B34"/>
    <w:rsid w:val="00B7520A"/>
    <w:rsid w:val="00BB4060"/>
    <w:rsid w:val="00BC482F"/>
    <w:rsid w:val="00BD3612"/>
    <w:rsid w:val="00C1340F"/>
    <w:rsid w:val="00C357D3"/>
    <w:rsid w:val="00C3685A"/>
    <w:rsid w:val="00C601B2"/>
    <w:rsid w:val="00C875D7"/>
    <w:rsid w:val="00CB445F"/>
    <w:rsid w:val="00CC4963"/>
    <w:rsid w:val="00CD75DC"/>
    <w:rsid w:val="00D21E58"/>
    <w:rsid w:val="00D225E9"/>
    <w:rsid w:val="00D35836"/>
    <w:rsid w:val="00D5168A"/>
    <w:rsid w:val="00D86587"/>
    <w:rsid w:val="00DB5354"/>
    <w:rsid w:val="00E00590"/>
    <w:rsid w:val="00E34F3E"/>
    <w:rsid w:val="00E371C7"/>
    <w:rsid w:val="00E37425"/>
    <w:rsid w:val="00E543EF"/>
    <w:rsid w:val="00E83486"/>
    <w:rsid w:val="00EA392B"/>
    <w:rsid w:val="00EA7028"/>
    <w:rsid w:val="00EB17E1"/>
    <w:rsid w:val="00EB2C61"/>
    <w:rsid w:val="00EB63A2"/>
    <w:rsid w:val="00EF647C"/>
    <w:rsid w:val="00F02556"/>
    <w:rsid w:val="00F26519"/>
    <w:rsid w:val="00F45492"/>
    <w:rsid w:val="00F92460"/>
    <w:rsid w:val="00FB1EEB"/>
    <w:rsid w:val="00FB503E"/>
    <w:rsid w:val="00F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55C7E"/>
  <w15:chartTrackingRefBased/>
  <w15:docId w15:val="{1981DC00-0E59-47CC-B3C9-C55650B7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590"/>
    <w:pPr>
      <w:outlineLvl w:val="0"/>
    </w:pPr>
    <w:rPr>
      <w:rFonts w:ascii="Arial Narrow" w:hAnsi="Arial Narrow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590"/>
    <w:pPr>
      <w:outlineLvl w:val="1"/>
    </w:pPr>
    <w:rPr>
      <w:rFonts w:ascii="Arial Narrow" w:hAnsi="Arial Narrow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3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340F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590"/>
    <w:rPr>
      <w:rFonts w:ascii="Arial Narrow" w:hAnsi="Arial Narrow"/>
      <w:b/>
      <w:bCs/>
      <w:color w:val="4472C4" w:themeColor="accent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00590"/>
    <w:rPr>
      <w:rFonts w:ascii="Arial Narrow" w:hAnsi="Arial Narrow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71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4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4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63"/>
    <w:rPr>
      <w:lang w:val="en-GB"/>
    </w:rPr>
  </w:style>
  <w:style w:type="character" w:customStyle="1" w:styleId="white-space-pre">
    <w:name w:val="white-space-pre"/>
    <w:basedOn w:val="DefaultParagraphFont"/>
    <w:rsid w:val="00CC4963"/>
  </w:style>
  <w:style w:type="character" w:customStyle="1" w:styleId="visually-hidden">
    <w:name w:val="visually-hidden"/>
    <w:basedOn w:val="DefaultParagraphFont"/>
    <w:rsid w:val="00CC4963"/>
  </w:style>
  <w:style w:type="character" w:styleId="CommentReference">
    <w:name w:val="annotation reference"/>
    <w:basedOn w:val="DefaultParagraphFont"/>
    <w:uiPriority w:val="99"/>
    <w:semiHidden/>
    <w:unhideWhenUsed/>
    <w:rsid w:val="00CC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9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963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860CE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80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eform-support.ec.europa.eu/what-we-do/green-transition/enhancing-eu-mining-regional-ecosystems-support-green-transition-and-secure-mineral-raw-materials_en" TargetMode="External"/><Relationship Id="rId18" Type="http://schemas.openxmlformats.org/officeDocument/2006/relationships/hyperlink" Target="https://www.linkedin.com/feed/hashtag/?keywords=circularity&amp;highlightedUpdateUrns=urn%3Ali%3Aactivity%3A7201110702063763456" TargetMode="External"/><Relationship Id="rId26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feed/hashtag/?keywords=transport&amp;highlightedUpdateUrns=urn%3Ali%3Aactivity%3A7201110702063763456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linkedin.com/feed/hashtag/?keywords=innovation&amp;highlightedUpdateUrns=urn%3Ali%3Aactivity%3A7201110702063763456" TargetMode="External"/><Relationship Id="rId25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feed/hashtag/?keywords=permittingprocess&amp;highlightedUpdateUrns=urn%3Ali%3Aactivity%3A7201110702063763456" TargetMode="External"/><Relationship Id="rId20" Type="http://schemas.openxmlformats.org/officeDocument/2006/relationships/hyperlink" Target="https://www.linkedin.com/feed/hashtag/?keywords=greenenergy&amp;highlightedUpdateUrns=urn%3Ali%3Aactivity%3A7201110702063763456" TargetMode="External"/><Relationship Id="rId29" Type="http://schemas.openxmlformats.org/officeDocument/2006/relationships/hyperlink" Target="https://www.oecd.org/regional/rural-development/conference-mining-regions-cities.ht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lideshare.net/slideshow/preliminary-findings-_oecd-field-visits-to-ten-regions-in-the-tsi-eu-mining-regions-pdf/269524598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inkedin.com/feed/hashtag/?keywords=mininggovernance&amp;highlightedUpdateUrns=urn%3Ali%3Aactivity%3A7201110702063763456" TargetMode="External"/><Relationship Id="rId23" Type="http://schemas.openxmlformats.org/officeDocument/2006/relationships/hyperlink" Target="https://www.slideshare.net/slideshow/preliminary-findings-_oecd-field-visits-to-ten-regions-in-the-tsi-eu-mining-regions-pdf/269524598" TargetMode="External"/><Relationship Id="rId28" Type="http://schemas.openxmlformats.org/officeDocument/2006/relationships/hyperlink" Target="https://forms.office.com/Pages/ResponsePage.aspx?id=1MdBrGEfDUaw9PySWitHHNxaQ4YCk-NOnudhDHVTEeNURERNVE1KTFFUN0k5R1RMRldNVkdCQUVTRCQlQCN0PWc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linkedin.com/feed/hashtag/?keywords=skill&amp;highlightedUpdateUrns=urn%3Ali%3Aactivity%3A7201110702063763456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yperlink" Target="https://www.oecd.org/regional/rural-development/conference-mining-regions-cities.htm" TargetMode="External"/><Relationship Id="rId27" Type="http://schemas.openxmlformats.org/officeDocument/2006/relationships/hyperlink" Target="https://www.oecd.org/regional/rural-development/conference-mining-regions-cities.htm" TargetMode="External"/><Relationship Id="rId30" Type="http://schemas.openxmlformats.org/officeDocument/2006/relationships/hyperlink" Target="https://forms.office.com/Pages/ResponsePage.aspx?id=1MdBrGEfDUaw9PySWitHHNxaQ4YCk-NOnudhDHVTEeNURERNVE1KTFFUN0k5R1RMRldNVkdCQUVTRCQlQCN0PW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4E623AE0B855E041B1290D0883742A68" ma:contentTypeVersion="51" ma:contentTypeDescription="" ma:contentTypeScope="" ma:versionID="a8bfb0bff60e7f00693a005c7677561d">
  <xsd:schema xmlns:xsd="http://www.w3.org/2001/XMLSchema" xmlns:xs="http://www.w3.org/2001/XMLSchema" xmlns:p="http://schemas.microsoft.com/office/2006/metadata/properties" xmlns:ns1="54c4cd27-f286-408f-9ce0-33c1e0f3ab39" xmlns:ns2="c0e75541-f54f-401c-9a34-cb7fded40982" xmlns:ns3="bbc7a7a3-1361-4a32-9a19-e150eb4da2ba" xmlns:ns5="c9f238dd-bb73-4aef-a7a5-d644ad823e52" xmlns:ns6="ca82dde9-3436-4d3d-bddd-d31447390034" xmlns:ns7="http://schemas.microsoft.com/sharepoint/v4" targetNamespace="http://schemas.microsoft.com/office/2006/metadata/properties" ma:root="true" ma:fieldsID="76464df44716d292dad5e4a334815210" ns1:_="" ns2:_="" ns3:_="" ns5:_="" ns6:_="" ns7:_="">
    <xsd:import namespace="54c4cd27-f286-408f-9ce0-33c1e0f3ab39"/>
    <xsd:import namespace="c0e75541-f54f-401c-9a34-cb7fded40982"/>
    <xsd:import namespace="bbc7a7a3-1361-4a32-9a19-e150eb4da2ba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6:OECDlanguage" minOccurs="0"/>
                <xsd:element ref="ns6:TaxCatchAll" minOccurs="0"/>
                <xsd:element ref="ns6:TaxCatchAllLabel" minOccurs="0"/>
                <xsd:element ref="ns1:OECDMeetingDate" minOccurs="0"/>
                <xsd:element ref="ns3:b5734379896a43bfa9844e286e5b2c8d" minOccurs="0"/>
                <xsd:element ref="ns2:i38748f9a9154900b8a26f19217530ef" minOccurs="0"/>
                <xsd:element ref="ns3:fc991543b5234ffe9aadfa6c2c5f4ba5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3:OECDTagsCache" minOccurs="0"/>
                <xsd:element ref="ns2:eShareHorizProjTaxHTField0" minOccurs="0"/>
                <xsd:element ref="ns2:OECDAllRelatedUsers" minOccurs="0"/>
                <xsd:element ref="ns3:SharedWithUsers" minOccurs="0"/>
                <xsd:element ref="ns7:IconOverlay" minOccurs="0"/>
                <xsd:element ref="ns1:OECD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31" nillable="true" ma:displayName="Meeting Date" ma:default="" ma:format="DateOnly" ma:hidden="true" ma:internalName="OECDMeetingDate">
      <xsd:simpleType>
        <xsd:restriction base="dms:DateTime"/>
      </xsd:simpleType>
    </xsd:element>
    <xsd:element name="OECDYear" ma:index="44" nillable="true" ma:displayName="Year" ma:description="" ma:internalName="OECDYea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5541-f54f-401c-9a34-cb7fded40982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hidden="true" ma:indexed="true" ma:internalName="OECDExpirationDate" ma:readOnly="false">
      <xsd:simpleType>
        <xsd:restriction base="dms:DateTime"/>
      </xsd:simpleType>
    </xsd:element>
    <xsd:element name="i38748f9a9154900b8a26f19217530ef" ma:index="33" nillable="true" ma:taxonomy="true" ma:internalName="i38748f9a9154900b8a26f19217530ef" ma:taxonomyFieldName="OECDHorizontalProjects" ma:displayName="Horizontal project" ma:readOnly="false" ma:default="" ma:fieldId="{238748f9-a915-4900-b8a2-6f19217530ef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40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1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a7a3-1361-4a32-9a19-e150eb4da2ba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96bfc537-3f4a-49f4-8bd3-4998d9b1134f" ma:internalName="OECDProjectLookup" ma:readOnly="false" ma:showField="OECDShortProjectName" ma:web="bbc7a7a3-1361-4a32-9a19-e150eb4da2ba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96bfc537-3f4a-49f4-8bd3-4998d9b1134f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5734379896a43bfa9844e286e5b2c8d" ma:index="32" nillable="true" ma:displayName="Deliverable owner_0" ma:hidden="true" ma:internalName="b5734379896a43bfa9844e286e5b2c8d">
      <xsd:simpleType>
        <xsd:restriction base="dms:Note"/>
      </xsd:simpleType>
    </xsd:element>
    <xsd:element name="fc991543b5234ffe9aadfa6c2c5f4ba5" ma:index="34" nillable="true" ma:taxonomy="true" ma:internalName="fc991543b5234ffe9aadfa6c2c5f4ba5" ma:taxonomyFieldName="OECDProjectOwnerStructure" ma:displayName="Project owner" ma:readOnly="false" ma:default="" ma:fieldId="fc991543-b523-4ffe-9aad-fa6c2c5f4ba5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5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6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37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39" nillable="true" ma:displayName="Tags cache" ma:description="" ma:hidden="true" ma:internalName="OECDTagsCache">
      <xsd:simpleType>
        <xsd:restriction base="dms:Note"/>
      </xsd:simpleType>
    </xsd:element>
    <xsd:element name="SharedWithUsers" ma:index="4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OECDlanguage" ma:index="27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" ma:index="29" nillable="true" ma:displayName="Taxonomy Catch All Column" ma:description="" ma:hidden="true" ma:list="{53561090-12f8-4042-a5cb-68ff0701e989}" ma:internalName="TaxCatchAll" ma:showField="CatchAllData" ma:web="c0e75541-f54f-401c-9a34-cb7fded40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description="" ma:hidden="true" ma:list="{53561090-12f8-4042-a5cb-68ff0701e989}" ma:internalName="TaxCatchAllLabel" ma:readOnly="true" ma:showField="CatchAllDataLabel" ma:web="c0e75541-f54f-401c-9a34-cb7fded40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CDPinnedBy xmlns="bbc7a7a3-1361-4a32-9a19-e150eb4da2ba">
      <UserInfo>
        <DisplayName/>
        <AccountId xsi:nil="true"/>
        <AccountType/>
      </UserInfo>
    </OECDPinnedBy>
    <OECDYear xmlns="54c4cd27-f286-408f-9ce0-33c1e0f3ab39" xsi:nil="true"/>
    <OECDProjectLookup xmlns="bbc7a7a3-1361-4a32-9a19-e150eb4da2ba">79</OECDProjectLookup>
    <OECDKimProvenance xmlns="54c4cd27-f286-408f-9ce0-33c1e0f3ab39" xsi:nil="true"/>
    <OECDMeetingDate xmlns="54c4cd27-f286-408f-9ce0-33c1e0f3ab39" xsi:nil="true"/>
    <OECDSharingStatus xmlns="bbc7a7a3-1361-4a32-9a19-e150eb4da2ba" xsi:nil="true"/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4.3.4 Territorial Development Policies</TermName>
          <TermId xmlns="http://schemas.microsoft.com/office/infopath/2007/PartnerControls">5ed491f9-3386-485a-af11-e45e3b6ab644</TermId>
        </TermInfo>
      </Terms>
    </eSharePWBTaxHTField0>
    <eShareHorizProjTaxHTField0 xmlns="c0e75541-f54f-401c-9a34-cb7fded40982" xsi:nil="true"/>
    <TaxCatchAll xmlns="ca82dde9-3436-4d3d-bddd-d31447390034">
      <Value>457</Value>
      <Value>398</Value>
      <Value>421</Value>
      <Value>370</Value>
      <Value>142</Value>
      <Value>816</Value>
    </TaxCatchAll>
    <OECDCommunityDocumentURL xmlns="bbc7a7a3-1361-4a32-9a19-e150eb4da2ba" xsi:nil="true"/>
    <OECDMainProject xmlns="bbc7a7a3-1361-4a32-9a19-e150eb4da2ba">61</OECDMainProject>
    <OECDKimBussinessContext xmlns="54c4cd27-f286-408f-9ce0-33c1e0f3ab39" xsi:nil="true"/>
    <OECDKimStatus xmlns="54c4cd27-f286-408f-9ce0-33c1e0f3ab39">Draft</OECDKimStatus>
    <eShareKeywords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eShareKeywordsTaxHTField0>
    <OECDCommunityDocumentID xmlns="bbc7a7a3-1361-4a32-9a19-e150eb4da2ba" xsi:nil="true"/>
    <eShareCommittee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Working Party on Rural Policy</TermName>
          <TermId xmlns="http://schemas.microsoft.com/office/infopath/2007/PartnerControls">a386795a-7d5b-403b-832d-22cb31693bbc</TermId>
        </TermInfo>
      </Terms>
    </eShareCommitteeTaxHTField0>
    <OECDTagsCache xmlns="bbc7a7a3-1361-4a32-9a19-e150eb4da2ba" xsi:nil="true"/>
    <IconOverlay xmlns="http://schemas.microsoft.com/sharepoint/v4" xsi:nil="true"/>
    <OECDExpirationDate xmlns="c0e75541-f54f-401c-9a34-cb7fded40982" xsi:nil="true"/>
    <i38748f9a9154900b8a26f19217530ef xmlns="c0e75541-f54f-401c-9a34-cb7fded4098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i38748f9a9154900b8a26f19217530ef>
    <fc991543b5234ffe9aadfa6c2c5f4ba5 xmlns="bbc7a7a3-1361-4a32-9a19-e150eb4da2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CFE/RDT</TermName>
          <TermId xmlns="http://schemas.microsoft.com/office/infopath/2007/PartnerControls">010c1019-468f-4783-81ab-828cbf7d2986</TermId>
        </TermInfo>
      </Terms>
    </fc991543b5234ffe9aadfa6c2c5f4ba5>
    <OECDlanguage xmlns="ca82dde9-3436-4d3d-bddd-d31447390034">English</OECDlanguage>
    <OECDAllRelatedUsers xmlns="c0e75541-f54f-401c-9a34-cb7fded40982">
      <UserInfo>
        <DisplayName/>
        <AccountId xsi:nil="true"/>
        <AccountType/>
      </UserInfo>
    </OECDAllRelatedUsers>
    <OECDProjectMembers xmlns="bbc7a7a3-1361-4a32-9a19-e150eb4da2ba">
      <UserInfo>
        <DisplayName>SANABRIA Andres, CFE/RDG</DisplayName>
        <AccountId>976</AccountId>
        <AccountType/>
      </UserInfo>
      <UserInfo>
        <DisplayName>BEAUMONT Saliha, CFE/RDG</DisplayName>
        <AccountId>1768</AccountId>
        <AccountType/>
      </UserInfo>
      <UserInfo>
        <DisplayName>RADERSCHALL Lisanne, CFE/RDG</DisplayName>
        <AccountId>1219</AccountId>
        <AccountType/>
      </UserInfo>
      <UserInfo>
        <DisplayName>SASAKI Mai, CFE/RDT</DisplayName>
        <AccountId>1121</AccountId>
        <AccountType/>
      </UserInfo>
      <UserInfo>
        <DisplayName>KRAWCHENKO Tamara, CFE/RDT</DisplayName>
        <AccountId>971</AccountId>
        <AccountType/>
      </UserInfo>
      <UserInfo>
        <DisplayName>PHILIP Pilar, ECO/FO</DisplayName>
        <AccountId>972</AccountId>
        <AccountType/>
      </UserInfo>
      <UserInfo>
        <DisplayName>MORENO MONROY Ana, CFE/EDS</DisplayName>
        <AccountId>1193</AccountId>
        <AccountType/>
      </UserInfo>
      <UserInfo>
        <DisplayName>TOSETTI Giulia, CFE/RDT</DisplayName>
        <AccountId>1879</AccountId>
        <AccountType/>
      </UserInfo>
      <UserInfo>
        <DisplayName>DUPEYRAS Alain, CFE/EST</DisplayName>
        <AccountId>99</AccountId>
        <AccountType/>
      </UserInfo>
      <UserInfo>
        <DisplayName>DUBOYS Jeanette, CFE/RDG</DisplayName>
        <AccountId>453</AccountId>
        <AccountType/>
      </UserInfo>
      <UserInfo>
        <DisplayName>GARCILAZO Jose Enrique, CFE/RDG</DisplayName>
        <AccountId>345</AccountId>
        <AccountType/>
      </UserInfo>
      <UserInfo>
        <DisplayName>BARBIERI Stefano, CFE/RDG</DisplayName>
        <AccountId>112</AccountId>
        <AccountType/>
      </UserInfo>
      <UserInfo>
        <DisplayName>MARSHALIAN Michelle, CFE/RDG</DisplayName>
        <AccountId>2498</AccountId>
        <AccountType/>
      </UserInfo>
      <UserInfo>
        <DisplayName>HITCHINGS Gareth, CFE/RDG</DisplayName>
        <AccountId>2513</AccountId>
        <AccountType/>
      </UserInfo>
      <UserInfo>
        <DisplayName>VYAS Jenny, CFE/RDG</DisplayName>
        <AccountId>2881</AccountId>
        <AccountType/>
      </UserInfo>
      <UserInfo>
        <DisplayName>BRYCE Betty-Ann, CFE/RDG</DisplayName>
        <AccountId>3208</AccountId>
        <AccountType/>
      </UserInfo>
      <UserInfo>
        <DisplayName>GATIGNOL Chloé, CFE/RDG</DisplayName>
        <AccountId>2722</AccountId>
        <AccountType/>
      </UserInfo>
      <UserInfo>
        <DisplayName>LEVEDAG Joséphine, CFE/RDG</DisplayName>
        <AccountId>3776</AccountId>
        <AccountType/>
      </UserInfo>
      <UserInfo>
        <DisplayName>NONOMURA Keizo, CFE/RDG</DisplayName>
        <AccountId>3097</AccountId>
        <AccountType/>
      </UserInfo>
      <UserInfo>
        <DisplayName>RAULT Anais, ENV</DisplayName>
        <AccountId>4116</AccountId>
        <AccountType/>
      </UserInfo>
      <UserInfo>
        <DisplayName>MURAI Takato, CFE/RDG</DisplayName>
        <AccountId>4159</AccountId>
        <AccountType/>
      </UserInfo>
      <UserInfo>
        <DisplayName>FONBONNAT Monserrat, CFE/TOU</DisplayName>
        <AccountId>1787</AccountId>
        <AccountType/>
      </UserInfo>
      <UserInfo>
        <DisplayName>WINKELMAYER Felix, CFE/RDG</DisplayName>
        <AccountId>4072</AccountId>
        <AccountType/>
      </UserInfo>
      <UserInfo>
        <DisplayName>GREENHOW Leslie, CFE/RDG</DisplayName>
        <AccountId>1656</AccountId>
        <AccountType/>
      </UserInfo>
      <UserInfo>
        <DisplayName>DURAN Selin, CFE/RDG</DisplayName>
        <AccountId>4595</AccountId>
        <AccountType/>
      </UserInfo>
    </OECDProjectMembers>
    <b5734379896a43bfa9844e286e5b2c8d xmlns="bbc7a7a3-1361-4a32-9a19-e150eb4da2ba" xsi:nil="true"/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Rural Development</TermName>
          <TermId xmlns="http://schemas.microsoft.com/office/infopath/2007/PartnerControls">0e180ea7-b694-4236-b103-a01331520b50</TermId>
        </TermInfo>
        <TermInfo xmlns="http://schemas.microsoft.com/office/infopath/2007/PartnerControls">
          <TermName xmlns="http://schemas.microsoft.com/office/infopath/2007/PartnerControls">Regional development</TermName>
          <TermId xmlns="http://schemas.microsoft.com/office/infopath/2007/PartnerControls">209366f0-6ff4-4153-9d7c-e97cdbd71699</TermId>
        </TermInfo>
        <TermInfo xmlns="http://schemas.microsoft.com/office/infopath/2007/PartnerControls">
          <TermName xmlns="http://schemas.microsoft.com/office/infopath/2007/PartnerControls">Regional competitiveness</TermName>
          <TermId xmlns="http://schemas.microsoft.com/office/infopath/2007/PartnerControls">b869c1c1-86b2-449c-b062-68f4cf3ec49d</TermId>
        </TermInfo>
      </Terms>
    </eShareTopicTaxHTField0>
    <OECDProjectManager xmlns="bbc7a7a3-1361-4a32-9a19-e150eb4da2ba">
      <UserInfo>
        <DisplayName/>
        <AccountId>345</AccountId>
        <AccountType/>
      </UserInfo>
    </OECDProjectManager>
    <eShareCountry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eShareCountryTaxHTField0>
  </documentManagement>
</p:properties>
</file>

<file path=customXml/item3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4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/>
</CtFieldPriority>
</file>

<file path=customXml/item5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Props1.xml><?xml version="1.0" encoding="utf-8"?>
<ds:datastoreItem xmlns:ds="http://schemas.openxmlformats.org/officeDocument/2006/customXml" ds:itemID="{7FEF85E8-3508-4E15-B3CB-7DD9040B7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c0e75541-f54f-401c-9a34-cb7fded40982"/>
    <ds:schemaRef ds:uri="bbc7a7a3-1361-4a32-9a19-e150eb4da2ba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62FEA-297E-4165-BED9-9E06F7B1C6C0}">
  <ds:schemaRefs>
    <ds:schemaRef ds:uri="http://schemas.microsoft.com/office/2006/metadata/properties"/>
    <ds:schemaRef ds:uri="http://schemas.microsoft.com/office/infopath/2007/PartnerControls"/>
    <ds:schemaRef ds:uri="bbc7a7a3-1361-4a32-9a19-e150eb4da2ba"/>
    <ds:schemaRef ds:uri="54c4cd27-f286-408f-9ce0-33c1e0f3ab39"/>
    <ds:schemaRef ds:uri="c9f238dd-bb73-4aef-a7a5-d644ad823e52"/>
    <ds:schemaRef ds:uri="c0e75541-f54f-401c-9a34-cb7fded40982"/>
    <ds:schemaRef ds:uri="ca82dde9-3436-4d3d-bddd-d31447390034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846638E-074D-4FB9-AB48-BB3CED9B2C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FC5A4-98DD-4829-8385-400822D637E0}">
  <ds:schemaRefs>
    <ds:schemaRef ds:uri="http://www.oecd.org/eshare/projectsentre/CtFieldPriority/"/>
    <ds:schemaRef ds:uri="http://schemas.microsoft.com/2003/10/Serialization/Arrays"/>
  </ds:schemaRefs>
</ds:datastoreItem>
</file>

<file path=customXml/itemProps5.xml><?xml version="1.0" encoding="utf-8"?>
<ds:datastoreItem xmlns:ds="http://schemas.openxmlformats.org/officeDocument/2006/customXml" ds:itemID="{999CF2E2-1C5D-4BA1-B7C8-9659415264B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1296</Words>
  <Characters>8288</Characters>
  <Application>Microsoft Office Word</Application>
  <DocSecurity>0</DocSecurity>
  <Lines>159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Bridget, CFE/RDG</dc:creator>
  <cp:keywords/>
  <dc:description/>
  <cp:lastModifiedBy>TSIKALAKI Zinovia (REFORM)</cp:lastModifiedBy>
  <cp:revision>3</cp:revision>
  <cp:lastPrinted>2024-06-10T14:51:00Z</cp:lastPrinted>
  <dcterms:created xsi:type="dcterms:W3CDTF">2024-06-25T06:50:00Z</dcterms:created>
  <dcterms:modified xsi:type="dcterms:W3CDTF">2024-06-25T06:57:00Z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Topic">
    <vt:lpwstr>398;#Rural Development|0e180ea7-b694-4236-b103-a01331520b50;#142;#Regional development|209366f0-6ff4-4153-9d7c-e97cdbd71699;#816;#Regional competitiveness|b869c1c1-86b2-449c-b062-68f4cf3ec49d</vt:lpwstr>
  </property>
  <property fmtid="{D5CDD505-2E9C-101B-9397-08002B2CF9AE}" pid="3" name="OECDCountry">
    <vt:lpwstr/>
  </property>
  <property fmtid="{D5CDD505-2E9C-101B-9397-08002B2CF9AE}" pid="4" name="OECDCommittee">
    <vt:lpwstr>370;#Working Party on Rural Policy|a386795a-7d5b-403b-832d-22cb31693bbc</vt:lpwstr>
  </property>
  <property fmtid="{D5CDD505-2E9C-101B-9397-08002B2CF9AE}" pid="5" name="ContentTypeId">
    <vt:lpwstr>0x0101008B4DD370EC31429186F3AD49F0D3098F00D44DBCB9EB4F45278CB5C9765BE5299500A4858B360C6A491AA753F8BCA47AA910004E623AE0B855E041B1290D0883742A68</vt:lpwstr>
  </property>
  <property fmtid="{D5CDD505-2E9C-101B-9397-08002B2CF9AE}" pid="6" name="OECDPWB">
    <vt:lpwstr>457;#4.3.4 Territorial Development Policies|5ed491f9-3386-485a-af11-e45e3b6ab644</vt:lpwstr>
  </property>
  <property fmtid="{D5CDD505-2E9C-101B-9397-08002B2CF9AE}" pid="7" name="eShareOrganisationTaxHTField0">
    <vt:lpwstr/>
  </property>
  <property fmtid="{D5CDD505-2E9C-101B-9397-08002B2CF9AE}" pid="8" name="OECDKeywords">
    <vt:lpwstr/>
  </property>
  <property fmtid="{D5CDD505-2E9C-101B-9397-08002B2CF9AE}" pid="9" name="OECDHorizontalProjects">
    <vt:lpwstr/>
  </property>
  <property fmtid="{D5CDD505-2E9C-101B-9397-08002B2CF9AE}" pid="10" name="d0b6f6ac229144c2899590f0436d9385">
    <vt:lpwstr/>
  </property>
  <property fmtid="{D5CDD505-2E9C-101B-9397-08002B2CF9AE}" pid="11" name="OECDProject">
    <vt:lpwstr/>
  </property>
  <property fmtid="{D5CDD505-2E9C-101B-9397-08002B2CF9AE}" pid="12" name="OECDProjectOwnerStructure">
    <vt:lpwstr>421;#CFE/RDT|010c1019-468f-4783-81ab-828cbf7d2986</vt:lpwstr>
  </property>
  <property fmtid="{D5CDD505-2E9C-101B-9397-08002B2CF9AE}" pid="13" name="OECDOrganisation">
    <vt:lpwstr/>
  </property>
  <property fmtid="{D5CDD505-2E9C-101B-9397-08002B2CF9AE}" pid="14" name="MSIP_Label_6bd9ddd1-4d20-43f6-abfa-fc3c07406f94_Enabled">
    <vt:lpwstr>true</vt:lpwstr>
  </property>
  <property fmtid="{D5CDD505-2E9C-101B-9397-08002B2CF9AE}" pid="15" name="MSIP_Label_6bd9ddd1-4d20-43f6-abfa-fc3c07406f94_SetDate">
    <vt:lpwstr>2024-06-25T06:49:29Z</vt:lpwstr>
  </property>
  <property fmtid="{D5CDD505-2E9C-101B-9397-08002B2CF9AE}" pid="16" name="MSIP_Label_6bd9ddd1-4d20-43f6-abfa-fc3c07406f94_Method">
    <vt:lpwstr>Standard</vt:lpwstr>
  </property>
  <property fmtid="{D5CDD505-2E9C-101B-9397-08002B2CF9AE}" pid="17" name="MSIP_Label_6bd9ddd1-4d20-43f6-abfa-fc3c07406f94_Name">
    <vt:lpwstr>Commission Use</vt:lpwstr>
  </property>
  <property fmtid="{D5CDD505-2E9C-101B-9397-08002B2CF9AE}" pid="18" name="MSIP_Label_6bd9ddd1-4d20-43f6-abfa-fc3c07406f94_SiteId">
    <vt:lpwstr>b24c8b06-522c-46fe-9080-70926f8dddb1</vt:lpwstr>
  </property>
  <property fmtid="{D5CDD505-2E9C-101B-9397-08002B2CF9AE}" pid="19" name="MSIP_Label_6bd9ddd1-4d20-43f6-abfa-fc3c07406f94_ActionId">
    <vt:lpwstr>d4d38037-2e58-4f44-b5e6-beac4b04ccfb</vt:lpwstr>
  </property>
  <property fmtid="{D5CDD505-2E9C-101B-9397-08002B2CF9AE}" pid="20" name="MSIP_Label_6bd9ddd1-4d20-43f6-abfa-fc3c07406f94_ContentBits">
    <vt:lpwstr>0</vt:lpwstr>
  </property>
</Properties>
</file>