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850A" w14:textId="77777777" w:rsidR="00687D0A" w:rsidRDefault="00140550" w:rsidP="00687D0A">
      <w:pPr>
        <w:spacing w:after="0"/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 xml:space="preserve">OECD - DG-Reform TSI </w:t>
      </w:r>
      <w:r w:rsidR="00B05026" w:rsidRPr="00B05026">
        <w:rPr>
          <w:b/>
          <w:bCs/>
          <w:color w:val="4472C4" w:themeColor="accent1"/>
          <w:sz w:val="28"/>
          <w:szCs w:val="28"/>
          <w:lang w:val="en-GB"/>
        </w:rPr>
        <w:t>10 EU Regions Project</w:t>
      </w:r>
    </w:p>
    <w:p w14:paraId="4DD4D710" w14:textId="7C05FFD2" w:rsidR="00B05026" w:rsidRDefault="00687D0A" w:rsidP="00687D0A">
      <w:pPr>
        <w:spacing w:after="0"/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>Takeaways of the OECD m</w:t>
      </w:r>
      <w:r w:rsidR="00B05026" w:rsidRPr="00B05026">
        <w:rPr>
          <w:b/>
          <w:bCs/>
          <w:color w:val="4472C4" w:themeColor="accent1"/>
          <w:sz w:val="28"/>
          <w:szCs w:val="28"/>
          <w:lang w:val="en-GB"/>
        </w:rPr>
        <w:t xml:space="preserve">ission </w:t>
      </w:r>
      <w:r>
        <w:rPr>
          <w:b/>
          <w:bCs/>
          <w:color w:val="4472C4" w:themeColor="accent1"/>
          <w:sz w:val="28"/>
          <w:szCs w:val="28"/>
          <w:lang w:val="en-GB"/>
        </w:rPr>
        <w:t xml:space="preserve">to </w:t>
      </w:r>
      <w:r w:rsidR="00484381">
        <w:rPr>
          <w:b/>
          <w:bCs/>
          <w:color w:val="4472C4" w:themeColor="accent1"/>
          <w:sz w:val="28"/>
          <w:szCs w:val="28"/>
          <w:lang w:val="en-GB"/>
        </w:rPr>
        <w:t>Andalusia, Spain</w:t>
      </w:r>
    </w:p>
    <w:p w14:paraId="61641E44" w14:textId="77777777" w:rsidR="00B05026" w:rsidRDefault="00B05026" w:rsidP="00B05026">
      <w:pPr>
        <w:spacing w:after="0" w:line="240" w:lineRule="auto"/>
        <w:rPr>
          <w:color w:val="000000" w:themeColor="text1"/>
          <w:lang w:val="en-GB"/>
        </w:rPr>
      </w:pPr>
    </w:p>
    <w:p w14:paraId="3D0B9199" w14:textId="0DE321F2" w:rsidR="00687D0A" w:rsidRPr="00484381" w:rsidRDefault="00687D0A" w:rsidP="00B05026">
      <w:pPr>
        <w:spacing w:after="0" w:line="240" w:lineRule="auto"/>
        <w:rPr>
          <w:b/>
          <w:bCs/>
          <w:color w:val="ED7D31" w:themeColor="accent2"/>
          <w:sz w:val="24"/>
          <w:szCs w:val="24"/>
          <w:lang w:val="en-GB"/>
        </w:rPr>
      </w:pPr>
      <w:r w:rsidRPr="00484381">
        <w:rPr>
          <w:b/>
          <w:bCs/>
          <w:color w:val="ED7D31" w:themeColor="accent2"/>
          <w:sz w:val="24"/>
          <w:szCs w:val="24"/>
          <w:lang w:val="en-GB"/>
        </w:rPr>
        <w:t xml:space="preserve">Introduction </w:t>
      </w:r>
    </w:p>
    <w:p w14:paraId="777DA3C5" w14:textId="16340303" w:rsidR="00687D0A" w:rsidRDefault="00687D0A" w:rsidP="00484381">
      <w:pPr>
        <w:spacing w:after="0" w:line="24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This</w:t>
      </w:r>
      <w:r w:rsidR="007F6D0D">
        <w:rPr>
          <w:color w:val="000000" w:themeColor="text1"/>
          <w:lang w:val="en-GB"/>
        </w:rPr>
        <w:t xml:space="preserve"> OECD visit to Andalusia during 27 and 30 November 2024</w:t>
      </w:r>
      <w:r>
        <w:rPr>
          <w:color w:val="000000" w:themeColor="text1"/>
          <w:lang w:val="en-GB"/>
        </w:rPr>
        <w:t xml:space="preserve"> was the first mission of the </w:t>
      </w:r>
      <w:r w:rsidRPr="00687D0A">
        <w:rPr>
          <w:color w:val="000000" w:themeColor="text1"/>
          <w:lang w:val="en-GB"/>
        </w:rPr>
        <w:t>OECD - DG-Reform TSI 10 EU Regions Project</w:t>
      </w:r>
      <w:r>
        <w:rPr>
          <w:color w:val="000000" w:themeColor="text1"/>
          <w:lang w:val="en-GB"/>
        </w:rPr>
        <w:t>. The peer reviewers to the mission were</w:t>
      </w:r>
      <w:r w:rsidR="001F301A">
        <w:rPr>
          <w:color w:val="000000" w:themeColor="text1"/>
          <w:lang w:val="en-GB"/>
        </w:rPr>
        <w:t xml:space="preserve"> </w:t>
      </w:r>
      <w:proofErr w:type="spellStart"/>
      <w:r w:rsidR="001F301A" w:rsidRPr="001F301A">
        <w:rPr>
          <w:color w:val="000000" w:themeColor="text1"/>
          <w:lang w:val="en-GB"/>
        </w:rPr>
        <w:t>Saija</w:t>
      </w:r>
      <w:proofErr w:type="spellEnd"/>
      <w:r w:rsidR="001F301A" w:rsidRPr="001F301A">
        <w:rPr>
          <w:color w:val="000000" w:themeColor="text1"/>
          <w:lang w:val="en-GB"/>
        </w:rPr>
        <w:t xml:space="preserve"> </w:t>
      </w:r>
      <w:proofErr w:type="spellStart"/>
      <w:r w:rsidR="001F301A" w:rsidRPr="001F301A">
        <w:rPr>
          <w:color w:val="000000" w:themeColor="text1"/>
          <w:lang w:val="en-GB"/>
        </w:rPr>
        <w:t>Tikkanen</w:t>
      </w:r>
      <w:proofErr w:type="spellEnd"/>
      <w:r w:rsidR="001F301A" w:rsidRPr="001F301A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and </w:t>
      </w:r>
      <w:r w:rsidR="001F301A" w:rsidRPr="001F301A">
        <w:rPr>
          <w:color w:val="000000" w:themeColor="text1"/>
          <w:lang w:val="en-GB"/>
        </w:rPr>
        <w:t xml:space="preserve">Jari Joutsenvaara </w:t>
      </w:r>
      <w:r>
        <w:rPr>
          <w:color w:val="000000" w:themeColor="text1"/>
          <w:lang w:val="en-GB"/>
        </w:rPr>
        <w:t xml:space="preserve">from Oulu </w:t>
      </w:r>
      <w:r w:rsidR="001F301A">
        <w:rPr>
          <w:color w:val="000000" w:themeColor="text1"/>
          <w:lang w:val="en-GB"/>
        </w:rPr>
        <w:t xml:space="preserve">region </w:t>
      </w:r>
      <w:r>
        <w:rPr>
          <w:color w:val="000000" w:themeColor="text1"/>
          <w:lang w:val="en-GB"/>
        </w:rPr>
        <w:t xml:space="preserve">(Finland) and </w:t>
      </w:r>
      <w:proofErr w:type="spellStart"/>
      <w:r>
        <w:rPr>
          <w:color w:val="000000" w:themeColor="text1"/>
          <w:lang w:val="en-GB"/>
        </w:rPr>
        <w:t>Joa</w:t>
      </w:r>
      <w:proofErr w:type="spellEnd"/>
      <w:r>
        <w:rPr>
          <w:color w:val="000000" w:themeColor="text1"/>
          <w:lang w:val="en-GB"/>
        </w:rPr>
        <w:t xml:space="preserve"> Matos from the region of Alentejo (Portugal). A main policy focus for the region is improving the skills and labour market for mineral supply. </w:t>
      </w:r>
      <w:r w:rsidR="009320D7">
        <w:rPr>
          <w:color w:val="000000" w:themeColor="text1"/>
          <w:lang w:val="en-GB"/>
        </w:rPr>
        <w:t>Therefore,</w:t>
      </w:r>
      <w:r>
        <w:rPr>
          <w:color w:val="000000" w:themeColor="text1"/>
          <w:lang w:val="en-GB"/>
        </w:rPr>
        <w:t xml:space="preserve"> </w:t>
      </w:r>
      <w:r w:rsidR="001A3965">
        <w:rPr>
          <w:color w:val="000000" w:themeColor="text1"/>
          <w:lang w:val="en-GB"/>
        </w:rPr>
        <w:t xml:space="preserve">an </w:t>
      </w:r>
      <w:r>
        <w:rPr>
          <w:color w:val="000000" w:themeColor="text1"/>
          <w:lang w:val="en-GB"/>
        </w:rPr>
        <w:t xml:space="preserve">OECD expert on local </w:t>
      </w:r>
      <w:r w:rsidR="00E9326A">
        <w:rPr>
          <w:color w:val="000000" w:themeColor="text1"/>
          <w:lang w:val="en-GB"/>
        </w:rPr>
        <w:t xml:space="preserve">skills </w:t>
      </w:r>
      <w:r w:rsidR="001A3965">
        <w:rPr>
          <w:color w:val="000000" w:themeColor="text1"/>
          <w:lang w:val="en-GB"/>
        </w:rPr>
        <w:t>also</w:t>
      </w:r>
      <w:r>
        <w:rPr>
          <w:color w:val="000000" w:themeColor="text1"/>
          <w:lang w:val="en-GB"/>
        </w:rPr>
        <w:t xml:space="preserve"> accompanied the mission</w:t>
      </w:r>
      <w:r w:rsidR="001A3965">
        <w:rPr>
          <w:color w:val="000000" w:themeColor="text1"/>
          <w:lang w:val="en-GB"/>
        </w:rPr>
        <w:t xml:space="preserve">. </w:t>
      </w:r>
    </w:p>
    <w:p w14:paraId="6DB6A817" w14:textId="77777777" w:rsidR="00484381" w:rsidRDefault="00484381" w:rsidP="00B05026">
      <w:pPr>
        <w:spacing w:after="0" w:line="240" w:lineRule="auto"/>
        <w:rPr>
          <w:color w:val="000000" w:themeColor="text1"/>
          <w:lang w:val="en-GB"/>
        </w:rPr>
      </w:pPr>
    </w:p>
    <w:p w14:paraId="266C803E" w14:textId="5A89BC3F" w:rsidR="00B05026" w:rsidRPr="00594EDF" w:rsidRDefault="00B05026" w:rsidP="00B05026">
      <w:pPr>
        <w:spacing w:after="0" w:line="240" w:lineRule="auto"/>
        <w:rPr>
          <w:b/>
          <w:bCs/>
          <w:color w:val="ED7D31" w:themeColor="accent2"/>
          <w:sz w:val="24"/>
          <w:szCs w:val="24"/>
          <w:lang w:val="en-GB"/>
        </w:rPr>
      </w:pPr>
      <w:r w:rsidRPr="00594EDF">
        <w:rPr>
          <w:b/>
          <w:bCs/>
          <w:color w:val="ED7D31" w:themeColor="accent2"/>
          <w:sz w:val="24"/>
          <w:szCs w:val="24"/>
          <w:lang w:val="en-GB"/>
        </w:rPr>
        <w:t>Current state:</w:t>
      </w:r>
    </w:p>
    <w:p w14:paraId="0149962F" w14:textId="62DDDFD4" w:rsidR="001F301A" w:rsidRDefault="001F301A" w:rsidP="00E92A2D">
      <w:pPr>
        <w:spacing w:after="0" w:line="240" w:lineRule="auto"/>
        <w:jc w:val="both"/>
        <w:rPr>
          <w:color w:val="000000" w:themeColor="text1"/>
          <w:lang w:val="en-GB"/>
        </w:rPr>
      </w:pPr>
      <w:r w:rsidRPr="001F301A">
        <w:rPr>
          <w:color w:val="000000" w:themeColor="text1"/>
          <w:lang w:val="en-GB"/>
        </w:rPr>
        <w:t>The region is a top</w:t>
      </w:r>
      <w:r w:rsidR="001C6293">
        <w:rPr>
          <w:color w:val="000000" w:themeColor="text1"/>
          <w:lang w:val="en-GB"/>
        </w:rPr>
        <w:t xml:space="preserve"> EU</w:t>
      </w:r>
      <w:r w:rsidRPr="001F301A">
        <w:rPr>
          <w:color w:val="000000" w:themeColor="text1"/>
          <w:lang w:val="en-GB"/>
        </w:rPr>
        <w:t xml:space="preserve"> producer of copper</w:t>
      </w:r>
      <w:r w:rsidR="001C6293">
        <w:rPr>
          <w:color w:val="000000" w:themeColor="text1"/>
          <w:lang w:val="en-GB"/>
        </w:rPr>
        <w:t>,</w:t>
      </w:r>
      <w:r>
        <w:rPr>
          <w:color w:val="000000" w:themeColor="text1"/>
          <w:lang w:val="en-GB"/>
        </w:rPr>
        <w:t xml:space="preserve"> with a </w:t>
      </w:r>
      <w:r w:rsidRPr="001F301A">
        <w:rPr>
          <w:color w:val="000000" w:themeColor="text1"/>
          <w:lang w:val="en-GB"/>
        </w:rPr>
        <w:t xml:space="preserve">mining </w:t>
      </w:r>
      <w:r>
        <w:rPr>
          <w:color w:val="000000" w:themeColor="text1"/>
          <w:lang w:val="en-GB"/>
        </w:rPr>
        <w:t>culture that date back to</w:t>
      </w:r>
      <w:r w:rsidRPr="001F301A">
        <w:rPr>
          <w:color w:val="000000" w:themeColor="text1"/>
          <w:lang w:val="en-GB"/>
        </w:rPr>
        <w:t xml:space="preserve"> Roman times. </w:t>
      </w:r>
    </w:p>
    <w:p w14:paraId="7BFB416F" w14:textId="69CEB6CE" w:rsidR="001C6293" w:rsidRDefault="001C6293" w:rsidP="00E92A2D">
      <w:pPr>
        <w:spacing w:after="0" w:line="240" w:lineRule="auto"/>
        <w:jc w:val="both"/>
        <w:rPr>
          <w:color w:val="000000" w:themeColor="text1"/>
          <w:lang w:val="en-GB"/>
        </w:rPr>
      </w:pPr>
      <w:r w:rsidRPr="001C6293">
        <w:rPr>
          <w:color w:val="000000" w:themeColor="text1"/>
          <w:lang w:val="en-GB"/>
        </w:rPr>
        <w:t>Despite a slowdown since the late 90s due to an environmental accident, recent years have seen a resurgence, playing a pivotal role in offsetting the economic impact of the COVID-19 pandemic.</w:t>
      </w:r>
    </w:p>
    <w:p w14:paraId="4DE141A7" w14:textId="77777777" w:rsidR="001C6293" w:rsidRDefault="001C6293" w:rsidP="00E92A2D">
      <w:pPr>
        <w:spacing w:after="0" w:line="240" w:lineRule="auto"/>
        <w:jc w:val="both"/>
        <w:rPr>
          <w:color w:val="000000" w:themeColor="text1"/>
          <w:lang w:val="en-GB"/>
        </w:rPr>
      </w:pPr>
    </w:p>
    <w:p w14:paraId="0C82703D" w14:textId="77777777" w:rsidR="001C6293" w:rsidRDefault="001C6293" w:rsidP="00D007E8">
      <w:pPr>
        <w:spacing w:after="0" w:line="240" w:lineRule="auto"/>
        <w:jc w:val="both"/>
        <w:rPr>
          <w:color w:val="000000" w:themeColor="text1"/>
          <w:lang w:val="en-GB"/>
        </w:rPr>
      </w:pPr>
      <w:r w:rsidRPr="001F301A">
        <w:rPr>
          <w:color w:val="000000" w:themeColor="text1"/>
          <w:lang w:val="en-GB"/>
        </w:rPr>
        <w:t xml:space="preserve">The </w:t>
      </w:r>
      <w:r>
        <w:rPr>
          <w:color w:val="000000" w:themeColor="text1"/>
          <w:lang w:val="en-GB"/>
        </w:rPr>
        <w:t>g</w:t>
      </w:r>
      <w:r w:rsidRPr="001F301A">
        <w:rPr>
          <w:color w:val="000000" w:themeColor="text1"/>
          <w:lang w:val="en-GB"/>
        </w:rPr>
        <w:t xml:space="preserve">overnment of Andalusia has supported the resurgence of the sector by updating its mineral strategy and implementing measures to better coordinate permitting for mining projects. </w:t>
      </w:r>
    </w:p>
    <w:p w14:paraId="17F843C5" w14:textId="633DCBB2" w:rsidR="00B27B85" w:rsidRDefault="001F301A" w:rsidP="00D007E8">
      <w:pPr>
        <w:spacing w:after="0" w:line="240" w:lineRule="auto"/>
        <w:jc w:val="both"/>
        <w:rPr>
          <w:color w:val="000000" w:themeColor="text1"/>
          <w:lang w:val="en-GB"/>
        </w:rPr>
      </w:pPr>
      <w:r w:rsidRPr="001F301A">
        <w:rPr>
          <w:color w:val="000000" w:themeColor="text1"/>
          <w:lang w:val="en-GB"/>
        </w:rPr>
        <w:t xml:space="preserve">Currently, Andalusia is on the verge of opening new mines, </w:t>
      </w:r>
      <w:r w:rsidR="001C6293" w:rsidRPr="001C6293">
        <w:rPr>
          <w:color w:val="000000" w:themeColor="text1"/>
          <w:lang w:val="en-GB"/>
        </w:rPr>
        <w:t xml:space="preserve">presenting an opportunity to generate employment in high-unemployment </w:t>
      </w:r>
      <w:r w:rsidR="001C6293">
        <w:rPr>
          <w:color w:val="000000" w:themeColor="text1"/>
          <w:lang w:val="en-GB"/>
        </w:rPr>
        <w:t>municipalities</w:t>
      </w:r>
      <w:r w:rsidR="001C6293" w:rsidRPr="001C6293">
        <w:rPr>
          <w:color w:val="000000" w:themeColor="text1"/>
          <w:lang w:val="en-GB"/>
        </w:rPr>
        <w:t xml:space="preserve"> and tackle environmental issues from </w:t>
      </w:r>
      <w:r w:rsidRPr="001F301A">
        <w:rPr>
          <w:color w:val="000000" w:themeColor="text1"/>
          <w:lang w:val="en-GB"/>
        </w:rPr>
        <w:t>abandoned mines.</w:t>
      </w:r>
      <w:r>
        <w:rPr>
          <w:color w:val="000000" w:themeColor="text1"/>
          <w:lang w:val="en-GB"/>
        </w:rPr>
        <w:t xml:space="preserve"> </w:t>
      </w:r>
      <w:r w:rsidR="00D007E8" w:rsidRPr="00D007E8">
        <w:rPr>
          <w:color w:val="000000" w:themeColor="text1"/>
          <w:lang w:val="en-GB"/>
        </w:rPr>
        <w:t>Yet, shortages of skilled workers</w:t>
      </w:r>
      <w:r w:rsidR="00D007E8">
        <w:rPr>
          <w:color w:val="000000" w:themeColor="text1"/>
          <w:lang w:val="en-GB"/>
        </w:rPr>
        <w:t xml:space="preserve">, misinformation about moder mining </w:t>
      </w:r>
      <w:r w:rsidR="00D007E8" w:rsidRPr="00D007E8">
        <w:rPr>
          <w:color w:val="000000" w:themeColor="text1"/>
          <w:lang w:val="en-GB"/>
        </w:rPr>
        <w:t>and funding obstacles</w:t>
      </w:r>
      <w:r w:rsidR="00D007E8">
        <w:rPr>
          <w:color w:val="000000" w:themeColor="text1"/>
          <w:lang w:val="en-GB"/>
        </w:rPr>
        <w:t xml:space="preserve"> for innovation</w:t>
      </w:r>
      <w:r w:rsidR="00D007E8" w:rsidRPr="00D007E8">
        <w:rPr>
          <w:color w:val="000000" w:themeColor="text1"/>
          <w:lang w:val="en-GB"/>
        </w:rPr>
        <w:t xml:space="preserve"> </w:t>
      </w:r>
      <w:r w:rsidR="00D007E8">
        <w:rPr>
          <w:color w:val="000000" w:themeColor="text1"/>
          <w:lang w:val="en-GB"/>
        </w:rPr>
        <w:t>are risks for</w:t>
      </w:r>
      <w:r w:rsidR="00D007E8" w:rsidRPr="00D007E8">
        <w:rPr>
          <w:color w:val="000000" w:themeColor="text1"/>
          <w:lang w:val="en-GB"/>
        </w:rPr>
        <w:t xml:space="preserve"> </w:t>
      </w:r>
      <w:r w:rsidR="00D007E8">
        <w:rPr>
          <w:color w:val="000000" w:themeColor="text1"/>
          <w:lang w:val="en-GB"/>
        </w:rPr>
        <w:t xml:space="preserve">sustainable mining </w:t>
      </w:r>
      <w:r w:rsidR="00D007E8" w:rsidRPr="00D007E8">
        <w:rPr>
          <w:color w:val="000000" w:themeColor="text1"/>
          <w:lang w:val="en-GB"/>
        </w:rPr>
        <w:t>development</w:t>
      </w:r>
      <w:r w:rsidR="002F6B0F">
        <w:rPr>
          <w:color w:val="000000" w:themeColor="text1"/>
          <w:lang w:val="en-GB"/>
        </w:rPr>
        <w:t>.</w:t>
      </w:r>
    </w:p>
    <w:p w14:paraId="36788968" w14:textId="77777777" w:rsidR="00A3401C" w:rsidRDefault="00A3401C" w:rsidP="00E92A2D">
      <w:pPr>
        <w:spacing w:after="0" w:line="240" w:lineRule="auto"/>
        <w:jc w:val="both"/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401C" w14:paraId="1BED0573" w14:textId="77777777" w:rsidTr="009320D7">
        <w:tc>
          <w:tcPr>
            <w:tcW w:w="4247" w:type="dxa"/>
          </w:tcPr>
          <w:p w14:paraId="278A67E8" w14:textId="0FBEADD8" w:rsidR="00A3401C" w:rsidRDefault="00A3401C" w:rsidP="00E92A2D">
            <w:pPr>
              <w:spacing w:after="0" w:line="240" w:lineRule="auto"/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Strengths</w:t>
            </w:r>
          </w:p>
        </w:tc>
        <w:tc>
          <w:tcPr>
            <w:tcW w:w="4247" w:type="dxa"/>
          </w:tcPr>
          <w:p w14:paraId="03C0F113" w14:textId="799E7663" w:rsidR="00A3401C" w:rsidRDefault="00A3401C" w:rsidP="00E92A2D">
            <w:pPr>
              <w:spacing w:after="0" w:line="240" w:lineRule="auto"/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Bottlenecks </w:t>
            </w:r>
          </w:p>
        </w:tc>
      </w:tr>
      <w:tr w:rsidR="00A3401C" w:rsidRPr="00BB6E35" w14:paraId="274A2CA3" w14:textId="77777777" w:rsidTr="009320D7">
        <w:tc>
          <w:tcPr>
            <w:tcW w:w="4247" w:type="dxa"/>
          </w:tcPr>
          <w:p w14:paraId="6EF6D24F" w14:textId="345FB456" w:rsidR="00A3401C" w:rsidRPr="002F6B0F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GB"/>
              </w:rPr>
              <w:t xml:space="preserve">Key European producer of copper with a relevant refinery capacity, offering smelting services for the entire Iberian </w:t>
            </w:r>
            <w:r>
              <w:rPr>
                <w:color w:val="000000" w:themeColor="text1"/>
                <w:lang w:val="en-GB"/>
              </w:rPr>
              <w:t xml:space="preserve">Peninsula. </w:t>
            </w:r>
          </w:p>
        </w:tc>
        <w:tc>
          <w:tcPr>
            <w:tcW w:w="4247" w:type="dxa"/>
          </w:tcPr>
          <w:p w14:paraId="0DEF101F" w14:textId="0540DD16" w:rsidR="00A3401C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GB"/>
              </w:rPr>
            </w:pPr>
            <w:r w:rsidRPr="002F6B0F">
              <w:rPr>
                <w:color w:val="000000" w:themeColor="text1"/>
                <w:lang w:val="en-GB"/>
              </w:rPr>
              <w:t xml:space="preserve">Lack of coordination </w:t>
            </w:r>
            <w:r w:rsidR="003543C5">
              <w:rPr>
                <w:color w:val="000000" w:themeColor="text1"/>
                <w:lang w:val="en-GB"/>
              </w:rPr>
              <w:t xml:space="preserve">across </w:t>
            </w:r>
            <w:r w:rsidRPr="002F6B0F">
              <w:rPr>
                <w:color w:val="000000" w:themeColor="text1"/>
                <w:lang w:val="en-GB"/>
              </w:rPr>
              <w:t>national</w:t>
            </w:r>
            <w:r w:rsidR="003543C5">
              <w:rPr>
                <w:color w:val="000000" w:themeColor="text1"/>
                <w:lang w:val="en-GB"/>
              </w:rPr>
              <w:t xml:space="preserve"> government’s institutions to </w:t>
            </w:r>
            <w:r w:rsidRPr="002F6B0F">
              <w:rPr>
                <w:color w:val="000000" w:themeColor="text1"/>
                <w:lang w:val="en-GB"/>
              </w:rPr>
              <w:t xml:space="preserve">improve mining information. </w:t>
            </w:r>
          </w:p>
        </w:tc>
      </w:tr>
      <w:tr w:rsidR="00A3401C" w:rsidRPr="00BB6E35" w14:paraId="25BAF9D6" w14:textId="77777777" w:rsidTr="009320D7">
        <w:tc>
          <w:tcPr>
            <w:tcW w:w="4247" w:type="dxa"/>
          </w:tcPr>
          <w:p w14:paraId="639F259B" w14:textId="0F64F053" w:rsidR="00A3401C" w:rsidRPr="00A3401C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</w:t>
            </w:r>
            <w:r w:rsidRPr="002F6B0F">
              <w:rPr>
                <w:color w:val="000000" w:themeColor="text1"/>
                <w:lang w:val="en-US"/>
              </w:rPr>
              <w:t>ingle contact point to coordinate mining projects, the Project Accelerator Unit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2F6B0F">
              <w:rPr>
                <w:color w:val="000000" w:themeColor="text1"/>
                <w:lang w:val="en-US"/>
              </w:rPr>
              <w:t xml:space="preserve">has </w:t>
            </w:r>
            <w:r>
              <w:rPr>
                <w:color w:val="000000" w:themeColor="text1"/>
                <w:lang w:val="en-US"/>
              </w:rPr>
              <w:t xml:space="preserve">help </w:t>
            </w:r>
            <w:r w:rsidRPr="002F6B0F">
              <w:rPr>
                <w:color w:val="000000" w:themeColor="text1"/>
                <w:lang w:val="en-US"/>
              </w:rPr>
              <w:t>to approve an exploitation permit in less than 3 years</w:t>
            </w:r>
            <w:r w:rsidR="00E477F9"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4247" w:type="dxa"/>
          </w:tcPr>
          <w:p w14:paraId="6B729495" w14:textId="77F74544" w:rsidR="00A3401C" w:rsidRPr="00A3401C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GB"/>
              </w:rPr>
              <w:t>Shortages of professionals and operators for new mining projects</w:t>
            </w:r>
            <w:r w:rsidR="009320D7">
              <w:rPr>
                <w:color w:val="000000" w:themeColor="text1"/>
                <w:lang w:val="en-GB"/>
              </w:rPr>
              <w:t xml:space="preserve">. </w:t>
            </w:r>
            <w:r w:rsidR="00A3401C">
              <w:rPr>
                <w:color w:val="000000" w:themeColor="text1"/>
                <w:lang w:val="en-GB"/>
              </w:rPr>
              <w:t>-</w:t>
            </w:r>
          </w:p>
        </w:tc>
      </w:tr>
      <w:tr w:rsidR="00A3401C" w:rsidRPr="00BB6E35" w14:paraId="09929ABD" w14:textId="77777777" w:rsidTr="009320D7">
        <w:tc>
          <w:tcPr>
            <w:tcW w:w="4247" w:type="dxa"/>
          </w:tcPr>
          <w:p w14:paraId="110F5B31" w14:textId="4D33101D" w:rsidR="00A3401C" w:rsidRPr="002F6B0F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US"/>
              </w:rPr>
              <w:t>Strong business ecosystem with competitive mining companies and providers.</w:t>
            </w:r>
          </w:p>
        </w:tc>
        <w:tc>
          <w:tcPr>
            <w:tcW w:w="4247" w:type="dxa"/>
          </w:tcPr>
          <w:p w14:paraId="152A0F1D" w14:textId="5D284FE9" w:rsidR="00A3401C" w:rsidRPr="00A3401C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GB"/>
              </w:rPr>
              <w:t>Lack of clarity for entrepreneurs and providers to identify and apply for funding for mining innovation</w:t>
            </w:r>
            <w:r w:rsidR="009948CA">
              <w:rPr>
                <w:color w:val="000000" w:themeColor="text1"/>
                <w:lang w:val="en-GB"/>
              </w:rPr>
              <w:t xml:space="preserve">. </w:t>
            </w:r>
            <w:r w:rsidR="00A3401C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A3401C" w:rsidRPr="00BB6E35" w14:paraId="1108F9AF" w14:textId="77777777" w:rsidTr="009320D7">
        <w:tc>
          <w:tcPr>
            <w:tcW w:w="4247" w:type="dxa"/>
          </w:tcPr>
          <w:p w14:paraId="5846F7E9" w14:textId="4FF886C9" w:rsidR="00A3401C" w:rsidRPr="002F6B0F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GB"/>
              </w:rPr>
              <w:t>Existing supply of high-level education for mining with investments in innovation</w:t>
            </w:r>
          </w:p>
        </w:tc>
        <w:tc>
          <w:tcPr>
            <w:tcW w:w="4247" w:type="dxa"/>
          </w:tcPr>
          <w:p w14:paraId="35A188C7" w14:textId="18DF0B49" w:rsidR="00A3401C" w:rsidRPr="00A3401C" w:rsidRDefault="002F6B0F" w:rsidP="00E92A2D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F6B0F">
              <w:rPr>
                <w:color w:val="000000" w:themeColor="text1"/>
                <w:lang w:val="en-US"/>
              </w:rPr>
              <w:t>Training and certification for technical mining skills are not easily accessible for individuals</w:t>
            </w:r>
            <w:r w:rsidR="009948CA">
              <w:rPr>
                <w:color w:val="000000" w:themeColor="text1"/>
                <w:lang w:val="en-US"/>
              </w:rPr>
              <w:t xml:space="preserve">. </w:t>
            </w:r>
          </w:p>
        </w:tc>
      </w:tr>
    </w:tbl>
    <w:p w14:paraId="50E059FC" w14:textId="77777777" w:rsidR="00552003" w:rsidRPr="00A3401C" w:rsidRDefault="00552003" w:rsidP="00B05026">
      <w:pPr>
        <w:spacing w:after="0" w:line="240" w:lineRule="auto"/>
        <w:rPr>
          <w:color w:val="000000" w:themeColor="text1"/>
          <w:lang w:val="en-US"/>
        </w:rPr>
      </w:pPr>
    </w:p>
    <w:p w14:paraId="137D3B72" w14:textId="3B436CA4" w:rsidR="001A3965" w:rsidRDefault="009E44BC" w:rsidP="00552003">
      <w:pPr>
        <w:spacing w:after="0" w:line="240" w:lineRule="auto"/>
        <w:rPr>
          <w:b/>
          <w:bCs/>
          <w:color w:val="ED7D31" w:themeColor="accent2"/>
          <w:sz w:val="24"/>
          <w:szCs w:val="24"/>
          <w:lang w:val="en-GB"/>
        </w:rPr>
      </w:pPr>
      <w:r w:rsidRPr="00100DBC">
        <w:rPr>
          <w:b/>
          <w:bCs/>
          <w:color w:val="ED7D31" w:themeColor="accent2"/>
          <w:sz w:val="24"/>
          <w:szCs w:val="24"/>
          <w:lang w:val="en-GB"/>
        </w:rPr>
        <w:t xml:space="preserve">Key takeaways </w:t>
      </w:r>
    </w:p>
    <w:p w14:paraId="5F1CA112" w14:textId="77777777" w:rsidR="002F6B0F" w:rsidRDefault="002F6B0F" w:rsidP="00B05026">
      <w:pPr>
        <w:spacing w:after="0" w:line="240" w:lineRule="auto"/>
        <w:rPr>
          <w:b/>
          <w:bCs/>
          <w:color w:val="000000" w:themeColor="text1"/>
          <w:lang w:val="en-GB"/>
        </w:rPr>
      </w:pPr>
    </w:p>
    <w:p w14:paraId="6C4CC41B" w14:textId="05BAC471" w:rsidR="00B05026" w:rsidRPr="00594EDF" w:rsidRDefault="00005CF7" w:rsidP="00B05026">
      <w:p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Skills and </w:t>
      </w:r>
      <w:proofErr w:type="gramStart"/>
      <w:r w:rsidR="00D007E8">
        <w:rPr>
          <w:b/>
          <w:bCs/>
          <w:color w:val="000000" w:themeColor="text1"/>
          <w:lang w:val="en-GB"/>
        </w:rPr>
        <w:t>innovation</w:t>
      </w:r>
      <w:r>
        <w:rPr>
          <w:b/>
          <w:bCs/>
          <w:color w:val="000000" w:themeColor="text1"/>
          <w:lang w:val="en-GB"/>
        </w:rPr>
        <w:t xml:space="preserve"> </w:t>
      </w:r>
      <w:r w:rsidR="00B05026" w:rsidRPr="00594EDF">
        <w:rPr>
          <w:b/>
          <w:bCs/>
          <w:color w:val="000000" w:themeColor="text1"/>
          <w:lang w:val="en-GB"/>
        </w:rPr>
        <w:t>:</w:t>
      </w:r>
      <w:proofErr w:type="gramEnd"/>
    </w:p>
    <w:p w14:paraId="759E705C" w14:textId="18C9F522" w:rsidR="001A3965" w:rsidRDefault="00005CF7" w:rsidP="002F6B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n-GB"/>
        </w:rPr>
      </w:pPr>
      <w:r>
        <w:rPr>
          <w:lang w:val="en-US"/>
        </w:rPr>
        <w:t>M</w:t>
      </w:r>
      <w:r w:rsidRPr="00005CF7">
        <w:rPr>
          <w:lang w:val="en-US"/>
        </w:rPr>
        <w:t>unicipalitie</w:t>
      </w:r>
      <w:r w:rsidR="00D007E8">
        <w:rPr>
          <w:lang w:val="en-US"/>
        </w:rPr>
        <w:t>s</w:t>
      </w:r>
      <w:r w:rsidRPr="00005CF7">
        <w:rPr>
          <w:lang w:val="en-US"/>
        </w:rPr>
        <w:t xml:space="preserve"> can </w:t>
      </w:r>
      <w:r w:rsidR="00D007E8" w:rsidRPr="00005CF7">
        <w:rPr>
          <w:lang w:val="en-US"/>
        </w:rPr>
        <w:t>organize</w:t>
      </w:r>
      <w:r w:rsidRPr="00005CF7">
        <w:rPr>
          <w:lang w:val="en-US"/>
        </w:rPr>
        <w:t xml:space="preserve"> </w:t>
      </w:r>
      <w:r>
        <w:rPr>
          <w:lang w:val="en-US"/>
        </w:rPr>
        <w:t xml:space="preserve">formal </w:t>
      </w:r>
      <w:r w:rsidRPr="00005CF7">
        <w:rPr>
          <w:lang w:val="en-US"/>
        </w:rPr>
        <w:t>training</w:t>
      </w:r>
      <w:r>
        <w:rPr>
          <w:lang w:val="en-US"/>
        </w:rPr>
        <w:t xml:space="preserve"> to </w:t>
      </w:r>
      <w:r w:rsidR="002F6B0F" w:rsidRPr="002F6B0F">
        <w:rPr>
          <w:color w:val="000000" w:themeColor="text1"/>
          <w:lang w:val="en-GB"/>
        </w:rPr>
        <w:t xml:space="preserve">address the shortage </w:t>
      </w:r>
      <w:r>
        <w:rPr>
          <w:color w:val="000000" w:themeColor="text1"/>
          <w:lang w:val="en-GB"/>
        </w:rPr>
        <w:t>of skills for the mining sector.</w:t>
      </w:r>
      <w:r w:rsidR="002F6B0F" w:rsidRPr="002F6B0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Mayors of municipalities that will host the forthcoming mining projects expressed </w:t>
      </w:r>
      <w:r w:rsidRPr="002F6B0F">
        <w:rPr>
          <w:color w:val="000000" w:themeColor="text1"/>
          <w:lang w:val="en-GB"/>
        </w:rPr>
        <w:t>that</w:t>
      </w:r>
      <w:r>
        <w:rPr>
          <w:color w:val="000000" w:themeColor="text1"/>
          <w:lang w:val="en-GB"/>
        </w:rPr>
        <w:t xml:space="preserve"> </w:t>
      </w:r>
      <w:r w:rsidR="00D007E8">
        <w:rPr>
          <w:color w:val="000000" w:themeColor="text1"/>
          <w:lang w:val="en-GB"/>
        </w:rPr>
        <w:t>there is not re</w:t>
      </w:r>
      <w:r>
        <w:rPr>
          <w:color w:val="000000" w:themeColor="text1"/>
          <w:lang w:val="en-GB"/>
        </w:rPr>
        <w:t xml:space="preserve">sistance to work in mining </w:t>
      </w:r>
      <w:r w:rsidR="00D007E8">
        <w:rPr>
          <w:color w:val="000000" w:themeColor="text1"/>
          <w:lang w:val="en-GB"/>
        </w:rPr>
        <w:t xml:space="preserve">from local population. </w:t>
      </w:r>
    </w:p>
    <w:p w14:paraId="5B2EA3E5" w14:textId="77777777" w:rsidR="00005CF7" w:rsidRDefault="00005CF7" w:rsidP="00005CF7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484381">
        <w:rPr>
          <w:color w:val="000000" w:themeColor="text1"/>
          <w:lang w:val="en-GB"/>
        </w:rPr>
        <w:t>Enhance collaboration with primary and secondary schools to better explain the importance of minerals from an early age</w:t>
      </w:r>
      <w:r>
        <w:rPr>
          <w:color w:val="000000" w:themeColor="text1"/>
          <w:lang w:val="en-GB"/>
        </w:rPr>
        <w:t>.</w:t>
      </w:r>
    </w:p>
    <w:p w14:paraId="275263D5" w14:textId="77777777" w:rsidR="00005CF7" w:rsidRDefault="00005CF7" w:rsidP="00005CF7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484381">
        <w:rPr>
          <w:color w:val="000000" w:themeColor="text1"/>
          <w:lang w:val="en-GB"/>
        </w:rPr>
        <w:t>Increase focus on the training of geologists and geophysicists to support exploration in the region. Stronger partnerships with mining companies to share non-sensitive geological information can benefit the entire sector</w:t>
      </w:r>
      <w:r>
        <w:rPr>
          <w:color w:val="000000" w:themeColor="text1"/>
          <w:lang w:val="en-GB"/>
        </w:rPr>
        <w:t xml:space="preserve">. </w:t>
      </w:r>
    </w:p>
    <w:p w14:paraId="2C7AB556" w14:textId="16CDC75D" w:rsidR="00005CF7" w:rsidRDefault="00005CF7" w:rsidP="00005C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n-GB"/>
        </w:rPr>
      </w:pPr>
      <w:r w:rsidRPr="002F6B0F">
        <w:rPr>
          <w:color w:val="000000" w:themeColor="text1"/>
          <w:lang w:val="en-GB"/>
        </w:rPr>
        <w:t xml:space="preserve">Improving channels for providers and entrepreneurs to test their innovations and connect with mining companies to better tailor solutions. A coordinating body for innovation within the government, </w:t>
      </w:r>
      <w:r>
        <w:rPr>
          <w:color w:val="000000" w:themeColor="text1"/>
          <w:lang w:val="en-GB"/>
        </w:rPr>
        <w:t>supported by</w:t>
      </w:r>
      <w:r w:rsidRPr="002F6B0F">
        <w:rPr>
          <w:color w:val="000000" w:themeColor="text1"/>
          <w:lang w:val="en-GB"/>
        </w:rPr>
        <w:t xml:space="preserve"> a regional development agency, could </w:t>
      </w:r>
      <w:proofErr w:type="gramStart"/>
      <w:r w:rsidRPr="002F6B0F">
        <w:rPr>
          <w:color w:val="000000" w:themeColor="text1"/>
          <w:lang w:val="en-GB"/>
        </w:rPr>
        <w:t>assist.</w:t>
      </w:r>
      <w:r>
        <w:rPr>
          <w:color w:val="000000" w:themeColor="text1"/>
          <w:lang w:val="en-GB"/>
        </w:rPr>
        <w:t>.</w:t>
      </w:r>
      <w:proofErr w:type="gramEnd"/>
      <w:r>
        <w:rPr>
          <w:color w:val="000000" w:themeColor="text1"/>
          <w:lang w:val="en-GB"/>
        </w:rPr>
        <w:t xml:space="preserve"> </w:t>
      </w:r>
    </w:p>
    <w:p w14:paraId="71C9AA90" w14:textId="17A816B2" w:rsidR="00011602" w:rsidRPr="009948CA" w:rsidRDefault="00011602" w:rsidP="009948CA">
      <w:pPr>
        <w:spacing w:after="0" w:line="240" w:lineRule="auto"/>
        <w:rPr>
          <w:color w:val="000000" w:themeColor="text1"/>
          <w:lang w:val="en-GB"/>
        </w:rPr>
      </w:pPr>
    </w:p>
    <w:p w14:paraId="6374CF84" w14:textId="5EB82F35" w:rsidR="00B05026" w:rsidRPr="00594EDF" w:rsidRDefault="0084289E" w:rsidP="00B05026">
      <w:p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Permitting and Strategy</w:t>
      </w:r>
      <w:r w:rsidR="00B05026" w:rsidRPr="00594EDF">
        <w:rPr>
          <w:b/>
          <w:bCs/>
          <w:color w:val="000000" w:themeColor="text1"/>
          <w:lang w:val="en-GB"/>
        </w:rPr>
        <w:t>:</w:t>
      </w:r>
    </w:p>
    <w:p w14:paraId="36FE01D6" w14:textId="38154CC1" w:rsidR="009948CA" w:rsidRDefault="002F6B0F" w:rsidP="00B405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lang w:val="en-GB"/>
        </w:rPr>
      </w:pPr>
      <w:r w:rsidRPr="002F6B0F">
        <w:rPr>
          <w:color w:val="000000" w:themeColor="text1"/>
          <w:lang w:val="en-GB"/>
        </w:rPr>
        <w:t>The permitting process can be further improved if the</w:t>
      </w:r>
      <w:r w:rsidR="00D007E8">
        <w:rPr>
          <w:color w:val="000000" w:themeColor="text1"/>
          <w:lang w:val="en-GB"/>
        </w:rPr>
        <w:t>re is a</w:t>
      </w:r>
      <w:r w:rsidRPr="002F6B0F">
        <w:rPr>
          <w:color w:val="000000" w:themeColor="text1"/>
          <w:lang w:val="en-GB"/>
        </w:rPr>
        <w:t xml:space="preserve"> </w:t>
      </w:r>
      <w:r w:rsidR="00D007E8" w:rsidRPr="002F6B0F">
        <w:rPr>
          <w:color w:val="000000" w:themeColor="text1"/>
          <w:lang w:val="en-GB"/>
        </w:rPr>
        <w:t>clear</w:t>
      </w:r>
      <w:r w:rsidR="00D007E8">
        <w:rPr>
          <w:color w:val="000000" w:themeColor="text1"/>
          <w:lang w:val="en-GB"/>
        </w:rPr>
        <w:t>er</w:t>
      </w:r>
      <w:r w:rsidR="00D007E8" w:rsidRPr="002F6B0F">
        <w:rPr>
          <w:color w:val="000000" w:themeColor="text1"/>
          <w:lang w:val="en-GB"/>
        </w:rPr>
        <w:t xml:space="preserve"> focus on the benefits of </w:t>
      </w:r>
      <w:r w:rsidR="00D007E8">
        <w:rPr>
          <w:color w:val="000000" w:themeColor="text1"/>
          <w:lang w:val="en-GB"/>
        </w:rPr>
        <w:t>mineral sector</w:t>
      </w:r>
      <w:r w:rsidR="00D007E8" w:rsidRPr="002F6B0F">
        <w:rPr>
          <w:color w:val="000000" w:themeColor="text1"/>
          <w:lang w:val="en-GB"/>
        </w:rPr>
        <w:t xml:space="preserve"> in the regional government’s growth plan and Smart Specialization Strategy </w:t>
      </w:r>
      <w:r w:rsidR="00D007E8">
        <w:rPr>
          <w:color w:val="000000" w:themeColor="text1"/>
          <w:lang w:val="en-GB"/>
        </w:rPr>
        <w:t>(</w:t>
      </w:r>
      <w:r w:rsidR="00D007E8" w:rsidRPr="002F6B0F">
        <w:rPr>
          <w:color w:val="000000" w:themeColor="text1"/>
          <w:lang w:val="en-GB"/>
        </w:rPr>
        <w:t>SP3</w:t>
      </w:r>
      <w:r w:rsidR="00D007E8">
        <w:rPr>
          <w:color w:val="000000" w:themeColor="text1"/>
          <w:lang w:val="en-GB"/>
        </w:rPr>
        <w:t>).</w:t>
      </w:r>
    </w:p>
    <w:p w14:paraId="68BF90BF" w14:textId="414C4616" w:rsidR="007E1455" w:rsidRDefault="002F6B0F" w:rsidP="00FD7F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lang w:val="en-GB"/>
        </w:rPr>
      </w:pPr>
      <w:r w:rsidRPr="007E1455">
        <w:rPr>
          <w:color w:val="000000" w:themeColor="text1"/>
          <w:lang w:val="en-GB"/>
        </w:rPr>
        <w:t xml:space="preserve">Create incentives </w:t>
      </w:r>
      <w:r w:rsidR="007E1455" w:rsidRPr="007E1455">
        <w:rPr>
          <w:color w:val="000000" w:themeColor="text1"/>
          <w:lang w:val="en-GB"/>
        </w:rPr>
        <w:t xml:space="preserve">and support </w:t>
      </w:r>
      <w:r w:rsidRPr="007E1455">
        <w:rPr>
          <w:color w:val="000000" w:themeColor="text1"/>
          <w:lang w:val="en-GB"/>
        </w:rPr>
        <w:t xml:space="preserve">for municipalities to make the final decision at the beginning of the permitting process. </w:t>
      </w:r>
      <w:r w:rsidR="00D007E8">
        <w:rPr>
          <w:color w:val="000000" w:themeColor="text1"/>
          <w:lang w:val="en-GB"/>
        </w:rPr>
        <w:t>M</w:t>
      </w:r>
      <w:r w:rsidR="007E1455" w:rsidRPr="007E1455">
        <w:rPr>
          <w:color w:val="000000" w:themeColor="text1"/>
          <w:lang w:val="en-GB"/>
        </w:rPr>
        <w:t xml:space="preserve">unicipalities </w:t>
      </w:r>
      <w:r w:rsidRPr="007E1455">
        <w:rPr>
          <w:color w:val="000000" w:themeColor="text1"/>
          <w:lang w:val="en-GB"/>
        </w:rPr>
        <w:t xml:space="preserve">are </w:t>
      </w:r>
      <w:r w:rsidR="007E1455" w:rsidRPr="007E1455">
        <w:rPr>
          <w:color w:val="000000" w:themeColor="text1"/>
          <w:lang w:val="en-GB"/>
        </w:rPr>
        <w:t xml:space="preserve">also involved at the end of the </w:t>
      </w:r>
      <w:r w:rsidRPr="007E1455">
        <w:rPr>
          <w:color w:val="000000" w:themeColor="text1"/>
          <w:lang w:val="en-GB"/>
        </w:rPr>
        <w:t xml:space="preserve">decision-making </w:t>
      </w:r>
      <w:r w:rsidR="007E1455" w:rsidRPr="007E1455">
        <w:rPr>
          <w:color w:val="000000" w:themeColor="text1"/>
          <w:lang w:val="en-GB"/>
        </w:rPr>
        <w:t>during</w:t>
      </w:r>
      <w:r w:rsidRPr="007E1455">
        <w:rPr>
          <w:color w:val="000000" w:themeColor="text1"/>
          <w:lang w:val="en-GB"/>
        </w:rPr>
        <w:t xml:space="preserve"> the</w:t>
      </w:r>
      <w:r w:rsidR="007E1455" w:rsidRPr="007E1455">
        <w:rPr>
          <w:color w:val="000000" w:themeColor="text1"/>
          <w:lang w:val="en-GB"/>
        </w:rPr>
        <w:t xml:space="preserve"> </w:t>
      </w:r>
      <w:r w:rsidRPr="007E1455">
        <w:rPr>
          <w:color w:val="000000" w:themeColor="text1"/>
          <w:lang w:val="en-GB"/>
        </w:rPr>
        <w:t>construction permit phase</w:t>
      </w:r>
      <w:r w:rsidR="00611ED1" w:rsidRPr="007E1455">
        <w:rPr>
          <w:color w:val="000000" w:themeColor="text1"/>
          <w:lang w:val="en-GB"/>
        </w:rPr>
        <w:t>.</w:t>
      </w:r>
      <w:r w:rsidR="00D007E8">
        <w:rPr>
          <w:color w:val="000000" w:themeColor="text1"/>
          <w:lang w:val="en-GB"/>
        </w:rPr>
        <w:t xml:space="preserve"> Furthermore, m</w:t>
      </w:r>
      <w:r w:rsidR="007E1455" w:rsidRPr="007E1455">
        <w:rPr>
          <w:color w:val="000000" w:themeColor="text1"/>
          <w:lang w:val="en-GB"/>
        </w:rPr>
        <w:t>any municipalities are not well-equipped for zoning and construction permits, which causes del</w:t>
      </w:r>
      <w:r w:rsidR="007E1455">
        <w:rPr>
          <w:color w:val="000000" w:themeColor="text1"/>
          <w:lang w:val="en-GB"/>
        </w:rPr>
        <w:t>a</w:t>
      </w:r>
      <w:r w:rsidR="007E1455" w:rsidRPr="007E1455">
        <w:rPr>
          <w:color w:val="000000" w:themeColor="text1"/>
          <w:lang w:val="en-GB"/>
        </w:rPr>
        <w:t xml:space="preserve">ys. </w:t>
      </w:r>
    </w:p>
    <w:p w14:paraId="44A9860C" w14:textId="73719DCC" w:rsidR="00611ED1" w:rsidRPr="007E1455" w:rsidRDefault="002F6B0F" w:rsidP="00FD7F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lang w:val="en-GB"/>
        </w:rPr>
      </w:pPr>
      <w:r w:rsidRPr="007E1455">
        <w:rPr>
          <w:color w:val="000000" w:themeColor="text1"/>
          <w:lang w:val="en-GB"/>
        </w:rPr>
        <w:t>Increase attention to permitting for metallic mining, as currently these permits do not fall under the Project Accelerator Unit and face a more complex process</w:t>
      </w:r>
      <w:r w:rsidR="00611ED1" w:rsidRPr="007E1455">
        <w:rPr>
          <w:color w:val="000000" w:themeColor="text1"/>
          <w:lang w:val="en-GB"/>
        </w:rPr>
        <w:t xml:space="preserve">. </w:t>
      </w:r>
    </w:p>
    <w:p w14:paraId="76AEEDAE" w14:textId="79A74D9E" w:rsidR="003543C5" w:rsidRPr="003543C5" w:rsidRDefault="002F6B0F" w:rsidP="003543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lang w:val="en-GB"/>
        </w:rPr>
      </w:pPr>
      <w:r w:rsidRPr="002F6B0F">
        <w:rPr>
          <w:color w:val="000000" w:themeColor="text1"/>
          <w:lang w:val="en-GB"/>
        </w:rPr>
        <w:t>Staffing and capacity of the National Geological Institute need to be improved to relaunch exploration in minin</w:t>
      </w:r>
      <w:r w:rsidR="00D007E8">
        <w:rPr>
          <w:color w:val="000000" w:themeColor="text1"/>
          <w:lang w:val="en-GB"/>
        </w:rPr>
        <w:t>g and</w:t>
      </w:r>
      <w:r w:rsidRPr="002F6B0F">
        <w:rPr>
          <w:color w:val="000000" w:themeColor="text1"/>
          <w:lang w:val="en-GB"/>
        </w:rPr>
        <w:t xml:space="preserve"> enhance </w:t>
      </w:r>
      <w:r w:rsidR="00D007E8" w:rsidRPr="002F6B0F">
        <w:rPr>
          <w:color w:val="000000" w:themeColor="text1"/>
          <w:lang w:val="en-GB"/>
        </w:rPr>
        <w:t>dissemination</w:t>
      </w:r>
      <w:r w:rsidR="00D007E8" w:rsidRPr="002F6B0F">
        <w:rPr>
          <w:color w:val="000000" w:themeColor="text1"/>
          <w:lang w:val="en-GB"/>
        </w:rPr>
        <w:t xml:space="preserve"> </w:t>
      </w:r>
      <w:r w:rsidR="00D007E8">
        <w:rPr>
          <w:color w:val="000000" w:themeColor="text1"/>
          <w:lang w:val="en-GB"/>
        </w:rPr>
        <w:t xml:space="preserve">of </w:t>
      </w:r>
      <w:r w:rsidRPr="002F6B0F">
        <w:rPr>
          <w:color w:val="000000" w:themeColor="text1"/>
          <w:lang w:val="en-GB"/>
        </w:rPr>
        <w:t>mining-related information. Currently, there is no clear exploration campaign in the country</w:t>
      </w:r>
      <w:r w:rsidR="003543C5">
        <w:rPr>
          <w:color w:val="000000" w:themeColor="text1"/>
          <w:lang w:val="en-GB"/>
        </w:rPr>
        <w:t>.</w:t>
      </w:r>
    </w:p>
    <w:p w14:paraId="1459025E" w14:textId="77777777" w:rsidR="009948CA" w:rsidRPr="005312CE" w:rsidRDefault="009948CA" w:rsidP="009948CA">
      <w:pPr>
        <w:pStyle w:val="ListParagraph"/>
        <w:spacing w:after="0" w:line="240" w:lineRule="auto"/>
        <w:ind w:left="786"/>
        <w:rPr>
          <w:color w:val="000000" w:themeColor="text1"/>
          <w:lang w:val="en-GB"/>
        </w:rPr>
      </w:pPr>
    </w:p>
    <w:p w14:paraId="555EC72E" w14:textId="6FD512F0" w:rsidR="00B05026" w:rsidRPr="00594EDF" w:rsidRDefault="00B05026" w:rsidP="00B05026">
      <w:pPr>
        <w:spacing w:after="0" w:line="240" w:lineRule="auto"/>
        <w:rPr>
          <w:b/>
          <w:bCs/>
          <w:color w:val="000000" w:themeColor="text1"/>
          <w:lang w:val="en-GB"/>
        </w:rPr>
      </w:pPr>
      <w:r w:rsidRPr="00594EDF">
        <w:rPr>
          <w:b/>
          <w:bCs/>
          <w:color w:val="000000" w:themeColor="text1"/>
          <w:lang w:val="en-GB"/>
        </w:rPr>
        <w:t>Social perception</w:t>
      </w:r>
      <w:r w:rsidR="001551A9">
        <w:rPr>
          <w:b/>
          <w:bCs/>
          <w:color w:val="000000" w:themeColor="text1"/>
          <w:lang w:val="en-GB"/>
        </w:rPr>
        <w:t xml:space="preserve">, </w:t>
      </w:r>
      <w:proofErr w:type="gramStart"/>
      <w:r w:rsidRPr="00594EDF">
        <w:rPr>
          <w:b/>
          <w:bCs/>
          <w:color w:val="000000" w:themeColor="text1"/>
          <w:lang w:val="en-GB"/>
        </w:rPr>
        <w:t>community</w:t>
      </w:r>
      <w:proofErr w:type="gramEnd"/>
      <w:r w:rsidRPr="00594EDF">
        <w:rPr>
          <w:b/>
          <w:bCs/>
          <w:color w:val="000000" w:themeColor="text1"/>
          <w:lang w:val="en-GB"/>
        </w:rPr>
        <w:t xml:space="preserve"> </w:t>
      </w:r>
      <w:r w:rsidR="001551A9">
        <w:rPr>
          <w:b/>
          <w:bCs/>
          <w:color w:val="000000" w:themeColor="text1"/>
          <w:lang w:val="en-GB"/>
        </w:rPr>
        <w:t xml:space="preserve">and environmental </w:t>
      </w:r>
      <w:r w:rsidRPr="00594EDF">
        <w:rPr>
          <w:b/>
          <w:bCs/>
          <w:color w:val="000000" w:themeColor="text1"/>
          <w:lang w:val="en-GB"/>
        </w:rPr>
        <w:t>impact:</w:t>
      </w:r>
    </w:p>
    <w:p w14:paraId="2113D6A1" w14:textId="2A4DF843" w:rsidR="00B05026" w:rsidRDefault="002F6B0F" w:rsidP="005568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en-GB"/>
        </w:rPr>
      </w:pPr>
      <w:r w:rsidRPr="002F6B0F">
        <w:rPr>
          <w:color w:val="000000" w:themeColor="text1"/>
          <w:lang w:val="en-GB"/>
        </w:rPr>
        <w:t>Improve coordination with national agencies to better clarify information about modern mining,</w:t>
      </w:r>
      <w:r w:rsidR="00D007E8">
        <w:rPr>
          <w:color w:val="000000" w:themeColor="text1"/>
          <w:lang w:val="en-GB"/>
        </w:rPr>
        <w:t xml:space="preserve"> including</w:t>
      </w:r>
      <w:r w:rsidRPr="002F6B0F">
        <w:rPr>
          <w:color w:val="000000" w:themeColor="text1"/>
          <w:lang w:val="en-GB"/>
        </w:rPr>
        <w:t xml:space="preserve"> its benefits, and</w:t>
      </w:r>
      <w:r w:rsidR="00D007E8">
        <w:rPr>
          <w:color w:val="000000" w:themeColor="text1"/>
          <w:lang w:val="en-GB"/>
        </w:rPr>
        <w:t xml:space="preserve"> the</w:t>
      </w:r>
      <w:r w:rsidRPr="002F6B0F">
        <w:rPr>
          <w:color w:val="000000" w:themeColor="text1"/>
          <w:lang w:val="en-GB"/>
        </w:rPr>
        <w:t xml:space="preserve"> actions to mitigate environmental risks. Entities like the Mining Observatory, endorsed by national ministries, publish information about mining projects without consultation with the relevant mining institutions</w:t>
      </w:r>
      <w:r w:rsidR="001551A9">
        <w:rPr>
          <w:color w:val="000000" w:themeColor="text1"/>
          <w:lang w:val="en-GB"/>
        </w:rPr>
        <w:t xml:space="preserve">. </w:t>
      </w:r>
    </w:p>
    <w:p w14:paraId="45049AB6" w14:textId="25199E94" w:rsidR="007E1455" w:rsidRDefault="002F6B0F" w:rsidP="000323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en-GB"/>
        </w:rPr>
      </w:pPr>
      <w:r w:rsidRPr="002F6B0F">
        <w:rPr>
          <w:color w:val="000000" w:themeColor="text1"/>
          <w:lang w:val="en-GB"/>
        </w:rPr>
        <w:t>Establish a clear and long-term strategy to secure funding sources (e.g., EU funds) to continually improve information on the environmental liabilities of abandoned mines and accelerate their rehabilitation.</w:t>
      </w:r>
      <w:r w:rsidR="001551A9">
        <w:rPr>
          <w:color w:val="000000" w:themeColor="text1"/>
          <w:lang w:val="en-GB"/>
        </w:rPr>
        <w:t xml:space="preserve"> </w:t>
      </w:r>
    </w:p>
    <w:p w14:paraId="30E88DC2" w14:textId="6987AF18" w:rsidR="00032307" w:rsidRPr="007E1455" w:rsidRDefault="007E1455" w:rsidP="000323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</w:t>
      </w:r>
      <w:r w:rsidRPr="007E1455">
        <w:rPr>
          <w:color w:val="000000" w:themeColor="text1"/>
          <w:lang w:val="en-GB"/>
        </w:rPr>
        <w:t xml:space="preserve">he information on environmental and social impacts (e.g., Environmental Impact Assessment) needs to be </w:t>
      </w:r>
      <w:r>
        <w:rPr>
          <w:color w:val="000000" w:themeColor="text1"/>
          <w:lang w:val="en-GB"/>
        </w:rPr>
        <w:t>also</w:t>
      </w:r>
      <w:r w:rsidRPr="007E1455">
        <w:rPr>
          <w:color w:val="000000" w:themeColor="text1"/>
          <w:lang w:val="en-GB"/>
        </w:rPr>
        <w:t xml:space="preserve"> reported in a way that is understandable for the public. Transparency and easy access to information are what some communities demand from the mining sector</w:t>
      </w:r>
      <w:r>
        <w:rPr>
          <w:color w:val="000000" w:themeColor="text1"/>
          <w:lang w:val="en-GB"/>
        </w:rPr>
        <w:t>.</w:t>
      </w:r>
    </w:p>
    <w:p w14:paraId="0B65B46F" w14:textId="65760D8D" w:rsidR="00192E25" w:rsidRDefault="00192E25" w:rsidP="00032307">
      <w:pPr>
        <w:spacing w:after="0" w:line="240" w:lineRule="auto"/>
        <w:rPr>
          <w:b/>
          <w:bCs/>
          <w:color w:val="ED7D31" w:themeColor="accent2"/>
          <w:lang w:val="en-GB"/>
        </w:rPr>
      </w:pPr>
      <w:r w:rsidRPr="00192E25">
        <w:rPr>
          <w:b/>
          <w:bCs/>
          <w:color w:val="ED7D31" w:themeColor="accent2"/>
          <w:lang w:val="en-GB"/>
        </w:rPr>
        <w:t>Good practices:</w:t>
      </w:r>
    </w:p>
    <w:p w14:paraId="1F797A27" w14:textId="630F0F3A" w:rsidR="00100DBC" w:rsidRPr="00100DBC" w:rsidRDefault="001C6293" w:rsidP="00100DBC">
      <w:p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Rehabilitation of abandon mines and environmental liabilities. </w:t>
      </w:r>
    </w:p>
    <w:p w14:paraId="4284587C" w14:textId="390097DA" w:rsidR="00192E25" w:rsidRDefault="00484381" w:rsidP="00192E25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lang w:val="en-GB"/>
        </w:rPr>
      </w:pPr>
      <w:r w:rsidRPr="00484381">
        <w:rPr>
          <w:color w:val="000000" w:themeColor="text1"/>
          <w:lang w:val="en-GB"/>
        </w:rPr>
        <w:t xml:space="preserve">The </w:t>
      </w:r>
      <w:r w:rsidR="001C6293">
        <w:rPr>
          <w:color w:val="000000" w:themeColor="text1"/>
          <w:lang w:val="en-GB"/>
        </w:rPr>
        <w:t xml:space="preserve">regional </w:t>
      </w:r>
      <w:r w:rsidRPr="00484381">
        <w:rPr>
          <w:color w:val="000000" w:themeColor="text1"/>
          <w:lang w:val="en-GB"/>
        </w:rPr>
        <w:t>government has included in the agreement for the new mines the obligation for companies to rehabilitate the environmental liabilities in the areas where new operations will take place</w:t>
      </w:r>
      <w:r w:rsidR="001C04DE">
        <w:rPr>
          <w:color w:val="000000" w:themeColor="text1"/>
          <w:lang w:val="en-GB"/>
        </w:rPr>
        <w:t xml:space="preserve">. </w:t>
      </w:r>
    </w:p>
    <w:p w14:paraId="0B11F27C" w14:textId="53C816C9" w:rsidR="001C6293" w:rsidRDefault="001C6293" w:rsidP="00192E25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regional government has accessed EU regional funds to help finance the rehabilitation of abandon mines.</w:t>
      </w:r>
    </w:p>
    <w:p w14:paraId="45784184" w14:textId="286973A7" w:rsidR="001C6293" w:rsidRPr="001C6293" w:rsidRDefault="001C6293" w:rsidP="001C6293">
      <w:pPr>
        <w:spacing w:after="0" w:line="240" w:lineRule="auto"/>
        <w:rPr>
          <w:b/>
          <w:bCs/>
          <w:color w:val="000000" w:themeColor="text1"/>
          <w:lang w:val="en-GB"/>
        </w:rPr>
      </w:pPr>
      <w:r w:rsidRPr="001C6293">
        <w:rPr>
          <w:b/>
          <w:bCs/>
          <w:color w:val="000000" w:themeColor="text1"/>
          <w:lang w:val="en-GB"/>
        </w:rPr>
        <w:t xml:space="preserve">Permitting process </w:t>
      </w:r>
      <w:r>
        <w:rPr>
          <w:b/>
          <w:bCs/>
          <w:color w:val="000000" w:themeColor="text1"/>
          <w:lang w:val="en-GB"/>
        </w:rPr>
        <w:t xml:space="preserve">and improved support for moder mining </w:t>
      </w:r>
    </w:p>
    <w:p w14:paraId="7AD14DB0" w14:textId="77777777" w:rsidR="001C04DE" w:rsidRPr="001C04DE" w:rsidRDefault="001C04DE" w:rsidP="00192E2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Project Accelerator Unit is a benchmark practice of coordination and high-level guidance to accelerate permitting process in metallic mining. </w:t>
      </w:r>
    </w:p>
    <w:p w14:paraId="6FF3D76D" w14:textId="23957FE9" w:rsidR="00192E25" w:rsidRPr="003543C5" w:rsidRDefault="001C04DE" w:rsidP="00192E2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mayor of </w:t>
      </w:r>
      <w:r w:rsidR="00C777B8">
        <w:rPr>
          <w:color w:val="000000" w:themeColor="text1"/>
          <w:lang w:val="en-GB"/>
        </w:rPr>
        <w:t>Aznalcóllar</w:t>
      </w:r>
      <w:r>
        <w:rPr>
          <w:color w:val="000000" w:themeColor="text1"/>
          <w:lang w:val="en-GB"/>
        </w:rPr>
        <w:t xml:space="preserve"> has promoted the re-opening of the mine, </w:t>
      </w:r>
      <w:r w:rsidR="00C777B8">
        <w:rPr>
          <w:color w:val="000000" w:themeColor="text1"/>
          <w:lang w:val="en-GB"/>
        </w:rPr>
        <w:t xml:space="preserve">updating </w:t>
      </w:r>
      <w:r>
        <w:rPr>
          <w:color w:val="000000" w:themeColor="text1"/>
          <w:lang w:val="en-GB"/>
        </w:rPr>
        <w:t xml:space="preserve">the vision towards </w:t>
      </w:r>
      <w:proofErr w:type="gramStart"/>
      <w:r w:rsidR="00C777B8">
        <w:rPr>
          <w:color w:val="000000" w:themeColor="text1"/>
          <w:lang w:val="en-GB"/>
        </w:rPr>
        <w:t xml:space="preserve">mining </w:t>
      </w:r>
      <w:r>
        <w:rPr>
          <w:color w:val="000000" w:themeColor="text1"/>
          <w:lang w:val="en-GB"/>
        </w:rPr>
        <w:t xml:space="preserve"> after</w:t>
      </w:r>
      <w:proofErr w:type="gramEnd"/>
      <w:r>
        <w:rPr>
          <w:color w:val="000000" w:themeColor="text1"/>
          <w:lang w:val="en-GB"/>
        </w:rPr>
        <w:t xml:space="preserve"> the historic accident in the area</w:t>
      </w:r>
      <w:r w:rsidR="00C777B8">
        <w:rPr>
          <w:color w:val="000000" w:themeColor="text1"/>
          <w:lang w:val="en-GB"/>
        </w:rPr>
        <w:t xml:space="preserve"> and set plans for diversification based on future mining revenues.</w:t>
      </w:r>
      <w:r>
        <w:rPr>
          <w:color w:val="000000" w:themeColor="text1"/>
          <w:lang w:val="en-GB"/>
        </w:rPr>
        <w:t xml:space="preserve">. It has brought </w:t>
      </w:r>
      <w:r w:rsidR="00C777B8">
        <w:rPr>
          <w:color w:val="000000" w:themeColor="text1"/>
          <w:lang w:val="en-GB"/>
        </w:rPr>
        <w:t xml:space="preserve">support from inhabitants and local companies, preparing the ground for the arrival of the new company.  </w:t>
      </w:r>
    </w:p>
    <w:p w14:paraId="68B65158" w14:textId="1675DF1D" w:rsidR="003543C5" w:rsidRPr="00100DBC" w:rsidRDefault="00BB6E35" w:rsidP="00192E2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  <w:lang w:val="en-GB"/>
        </w:rPr>
      </w:pPr>
      <w:r>
        <w:rPr>
          <w:color w:val="000000" w:themeColor="text1"/>
          <w:lang w:val="en-GB"/>
        </w:rPr>
        <w:t>The forthcoming national mineral strategy will help clarify the strategic goals for the sector, improve synergies across regions and clarify benefits of hosting municipalities, among others.</w:t>
      </w:r>
    </w:p>
    <w:p w14:paraId="403F2F88" w14:textId="77777777" w:rsidR="00A1034C" w:rsidRPr="00100DBC" w:rsidRDefault="00A1034C" w:rsidP="00A1034C">
      <w:pPr>
        <w:spacing w:after="0" w:line="240" w:lineRule="auto"/>
        <w:rPr>
          <w:b/>
          <w:bCs/>
          <w:color w:val="000000" w:themeColor="text1"/>
          <w:lang w:val="en-GB"/>
        </w:rPr>
      </w:pPr>
      <w:r w:rsidRPr="00100DBC">
        <w:rPr>
          <w:b/>
          <w:bCs/>
          <w:color w:val="000000" w:themeColor="text1"/>
          <w:lang w:val="en-GB"/>
        </w:rPr>
        <w:t>ESG</w:t>
      </w:r>
    </w:p>
    <w:p w14:paraId="0C36E434" w14:textId="46C897E0" w:rsidR="00A1034C" w:rsidRPr="00C777B8" w:rsidRDefault="00C777B8" w:rsidP="00C777B8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Most metallic mining companies in the region have invested in renewable energy projects and in activities to reduce environmental impact, especially on water</w:t>
      </w:r>
      <w:proofErr w:type="gramStart"/>
      <w:r>
        <w:rPr>
          <w:color w:val="000000" w:themeColor="text1"/>
          <w:lang w:val="en-GB"/>
        </w:rPr>
        <w:t xml:space="preserve">. </w:t>
      </w:r>
      <w:r w:rsidR="00A1034C" w:rsidRPr="00100DBC">
        <w:rPr>
          <w:color w:val="000000" w:themeColor="text1"/>
          <w:lang w:val="en-GB"/>
        </w:rPr>
        <w:t>.</w:t>
      </w:r>
      <w:proofErr w:type="gramEnd"/>
    </w:p>
    <w:p w14:paraId="0E4E0B2C" w14:textId="77777777" w:rsidR="00192E25" w:rsidRPr="00192E25" w:rsidRDefault="00192E25" w:rsidP="00032307">
      <w:pPr>
        <w:spacing w:after="0" w:line="240" w:lineRule="auto"/>
        <w:rPr>
          <w:b/>
          <w:bCs/>
          <w:color w:val="ED7D31" w:themeColor="accent2"/>
          <w:lang w:val="en-GB"/>
        </w:rPr>
      </w:pPr>
    </w:p>
    <w:sectPr w:rsidR="00192E25" w:rsidRPr="00192E25" w:rsidSect="00A145A0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19F2" w14:textId="77777777" w:rsidR="00842AA6" w:rsidRDefault="00842AA6" w:rsidP="00140550">
      <w:pPr>
        <w:spacing w:after="0" w:line="240" w:lineRule="auto"/>
      </w:pPr>
      <w:r>
        <w:separator/>
      </w:r>
    </w:p>
  </w:endnote>
  <w:endnote w:type="continuationSeparator" w:id="0">
    <w:p w14:paraId="4F424957" w14:textId="77777777" w:rsidR="00842AA6" w:rsidRDefault="00842AA6" w:rsidP="0014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4CE4" w14:textId="77777777" w:rsidR="00842AA6" w:rsidRDefault="00842AA6" w:rsidP="00140550">
      <w:pPr>
        <w:spacing w:after="0" w:line="240" w:lineRule="auto"/>
      </w:pPr>
      <w:r>
        <w:separator/>
      </w:r>
    </w:p>
  </w:footnote>
  <w:footnote w:type="continuationSeparator" w:id="0">
    <w:p w14:paraId="7D4FE5C3" w14:textId="77777777" w:rsidR="00842AA6" w:rsidRDefault="00842AA6" w:rsidP="0014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2D0" w14:textId="296C5925" w:rsidR="00140550" w:rsidRDefault="001405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4E55C" wp14:editId="7C0D686F">
          <wp:simplePos x="0" y="0"/>
          <wp:positionH relativeFrom="page">
            <wp:posOffset>6985</wp:posOffset>
          </wp:positionH>
          <wp:positionV relativeFrom="paragraph">
            <wp:posOffset>-445135</wp:posOffset>
          </wp:positionV>
          <wp:extent cx="8166100" cy="793750"/>
          <wp:effectExtent l="0" t="0" r="6350" b="6350"/>
          <wp:wrapTight wrapText="bothSides">
            <wp:wrapPolygon edited="0">
              <wp:start x="0" y="0"/>
              <wp:lineTo x="0" y="21254"/>
              <wp:lineTo x="21566" y="21254"/>
              <wp:lineTo x="215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6" t="15698" r="10885" b="16323"/>
                  <a:stretch/>
                </pic:blipFill>
                <pic:spPr bwMode="auto">
                  <a:xfrm>
                    <a:off x="0" y="0"/>
                    <a:ext cx="8166100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EC765E" wp14:editId="5AF4CA9A">
          <wp:simplePos x="0" y="0"/>
          <wp:positionH relativeFrom="page">
            <wp:posOffset>1772285</wp:posOffset>
          </wp:positionH>
          <wp:positionV relativeFrom="paragraph">
            <wp:posOffset>-451485</wp:posOffset>
          </wp:positionV>
          <wp:extent cx="4953635" cy="793750"/>
          <wp:effectExtent l="0" t="0" r="0" b="6350"/>
          <wp:wrapTight wrapText="bothSides">
            <wp:wrapPolygon edited="0">
              <wp:start x="0" y="0"/>
              <wp:lineTo x="0" y="21254"/>
              <wp:lineTo x="21514" y="21254"/>
              <wp:lineTo x="21514" y="0"/>
              <wp:lineTo x="0" y="0"/>
            </wp:wrapPolygon>
          </wp:wrapTight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6" t="15698" r="10885" b="16323"/>
                  <a:stretch/>
                </pic:blipFill>
                <pic:spPr bwMode="auto">
                  <a:xfrm>
                    <a:off x="0" y="0"/>
                    <a:ext cx="495363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8A"/>
    <w:multiLevelType w:val="hybridMultilevel"/>
    <w:tmpl w:val="31747F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AC6AD6"/>
    <w:multiLevelType w:val="hybridMultilevel"/>
    <w:tmpl w:val="A4E2EB36"/>
    <w:lvl w:ilvl="0" w:tplc="1BE6BED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2CB"/>
    <w:multiLevelType w:val="hybridMultilevel"/>
    <w:tmpl w:val="3BA21BE2"/>
    <w:lvl w:ilvl="0" w:tplc="D46AA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166"/>
    <w:multiLevelType w:val="hybridMultilevel"/>
    <w:tmpl w:val="59688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D20"/>
    <w:multiLevelType w:val="hybridMultilevel"/>
    <w:tmpl w:val="AAE83A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3F5A"/>
    <w:multiLevelType w:val="hybridMultilevel"/>
    <w:tmpl w:val="FC9447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42E62116"/>
    <w:multiLevelType w:val="hybridMultilevel"/>
    <w:tmpl w:val="DD06C64A"/>
    <w:lvl w:ilvl="0" w:tplc="B9CC4D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45CF"/>
    <w:multiLevelType w:val="hybridMultilevel"/>
    <w:tmpl w:val="B9C8C5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EE7977"/>
    <w:multiLevelType w:val="hybridMultilevel"/>
    <w:tmpl w:val="C5D2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4494"/>
    <w:multiLevelType w:val="hybridMultilevel"/>
    <w:tmpl w:val="8D60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2C5"/>
    <w:multiLevelType w:val="hybridMultilevel"/>
    <w:tmpl w:val="F8F8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7010"/>
    <w:multiLevelType w:val="hybridMultilevel"/>
    <w:tmpl w:val="350C5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6F4E"/>
    <w:multiLevelType w:val="hybridMultilevel"/>
    <w:tmpl w:val="0030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24732"/>
    <w:multiLevelType w:val="hybridMultilevel"/>
    <w:tmpl w:val="8460D7D4"/>
    <w:lvl w:ilvl="0" w:tplc="23EEDB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9063">
    <w:abstractNumId w:val="13"/>
  </w:num>
  <w:num w:numId="2" w16cid:durableId="1163936944">
    <w:abstractNumId w:val="6"/>
  </w:num>
  <w:num w:numId="3" w16cid:durableId="776103249">
    <w:abstractNumId w:val="1"/>
  </w:num>
  <w:num w:numId="4" w16cid:durableId="273942714">
    <w:abstractNumId w:val="2"/>
  </w:num>
  <w:num w:numId="5" w16cid:durableId="1733960749">
    <w:abstractNumId w:val="11"/>
  </w:num>
  <w:num w:numId="6" w16cid:durableId="1375808903">
    <w:abstractNumId w:val="4"/>
  </w:num>
  <w:num w:numId="7" w16cid:durableId="787816904">
    <w:abstractNumId w:val="3"/>
  </w:num>
  <w:num w:numId="8" w16cid:durableId="81755721">
    <w:abstractNumId w:val="12"/>
  </w:num>
  <w:num w:numId="9" w16cid:durableId="1739741720">
    <w:abstractNumId w:val="0"/>
  </w:num>
  <w:num w:numId="10" w16cid:durableId="574707049">
    <w:abstractNumId w:val="8"/>
  </w:num>
  <w:num w:numId="11" w16cid:durableId="674916804">
    <w:abstractNumId w:val="9"/>
  </w:num>
  <w:num w:numId="12" w16cid:durableId="1006591787">
    <w:abstractNumId w:val="7"/>
  </w:num>
  <w:num w:numId="13" w16cid:durableId="435295489">
    <w:abstractNumId w:val="5"/>
  </w:num>
  <w:num w:numId="14" w16cid:durableId="135030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ECDDocumentId" w:val="9058B7A91167723E4FC5FFCC57C1B71B2F2C070E9A94B439EA98C654E6599C90"/>
  </w:docVars>
  <w:rsids>
    <w:rsidRoot w:val="00B05026"/>
    <w:rsid w:val="00005CF7"/>
    <w:rsid w:val="00011602"/>
    <w:rsid w:val="00016563"/>
    <w:rsid w:val="00032307"/>
    <w:rsid w:val="00041AF9"/>
    <w:rsid w:val="000D22A4"/>
    <w:rsid w:val="000D2877"/>
    <w:rsid w:val="00100DBC"/>
    <w:rsid w:val="00134F77"/>
    <w:rsid w:val="00140550"/>
    <w:rsid w:val="001551A9"/>
    <w:rsid w:val="00192E25"/>
    <w:rsid w:val="001A3965"/>
    <w:rsid w:val="001C04DE"/>
    <w:rsid w:val="001C6293"/>
    <w:rsid w:val="001F301A"/>
    <w:rsid w:val="00230706"/>
    <w:rsid w:val="00272032"/>
    <w:rsid w:val="002F6B0F"/>
    <w:rsid w:val="003543C5"/>
    <w:rsid w:val="00382F18"/>
    <w:rsid w:val="003F4C86"/>
    <w:rsid w:val="00484381"/>
    <w:rsid w:val="004A084D"/>
    <w:rsid w:val="004E564C"/>
    <w:rsid w:val="005312CE"/>
    <w:rsid w:val="00552003"/>
    <w:rsid w:val="0055683C"/>
    <w:rsid w:val="00594EDF"/>
    <w:rsid w:val="005E6317"/>
    <w:rsid w:val="00611ED1"/>
    <w:rsid w:val="00687D0A"/>
    <w:rsid w:val="00716484"/>
    <w:rsid w:val="007E1455"/>
    <w:rsid w:val="007F6D0D"/>
    <w:rsid w:val="00810313"/>
    <w:rsid w:val="0084289E"/>
    <w:rsid w:val="00842AA6"/>
    <w:rsid w:val="00867A5A"/>
    <w:rsid w:val="00871045"/>
    <w:rsid w:val="009320D7"/>
    <w:rsid w:val="00983093"/>
    <w:rsid w:val="00985978"/>
    <w:rsid w:val="009948CA"/>
    <w:rsid w:val="00997B72"/>
    <w:rsid w:val="009E44BC"/>
    <w:rsid w:val="00A1034C"/>
    <w:rsid w:val="00A145A0"/>
    <w:rsid w:val="00A3401C"/>
    <w:rsid w:val="00A645E2"/>
    <w:rsid w:val="00AB3ADD"/>
    <w:rsid w:val="00B05026"/>
    <w:rsid w:val="00B27B85"/>
    <w:rsid w:val="00B40544"/>
    <w:rsid w:val="00B410A8"/>
    <w:rsid w:val="00B56864"/>
    <w:rsid w:val="00B87149"/>
    <w:rsid w:val="00BB6E35"/>
    <w:rsid w:val="00BB78A6"/>
    <w:rsid w:val="00BE26B0"/>
    <w:rsid w:val="00C777B8"/>
    <w:rsid w:val="00CB0338"/>
    <w:rsid w:val="00CC6685"/>
    <w:rsid w:val="00CD0E55"/>
    <w:rsid w:val="00D007E8"/>
    <w:rsid w:val="00D868DD"/>
    <w:rsid w:val="00DE7D3C"/>
    <w:rsid w:val="00E477F9"/>
    <w:rsid w:val="00E505F7"/>
    <w:rsid w:val="00E92A2D"/>
    <w:rsid w:val="00E9326A"/>
    <w:rsid w:val="00E961BF"/>
    <w:rsid w:val="00ED3279"/>
    <w:rsid w:val="00FA50DA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478E2"/>
  <w15:docId w15:val="{5C1B4B9E-464C-4B47-A2AF-4698E9E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26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26"/>
    <w:pPr>
      <w:ind w:left="720"/>
      <w:contextualSpacing/>
    </w:pPr>
  </w:style>
  <w:style w:type="table" w:styleId="TableGrid">
    <w:name w:val="Table Grid"/>
    <w:basedOn w:val="TableNormal"/>
    <w:uiPriority w:val="39"/>
    <w:rsid w:val="0003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50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4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50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4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418518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43057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56065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26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66001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57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661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074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4761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313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832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8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855475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57039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2280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56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48268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09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933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976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705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49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347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890</Words>
  <Characters>5353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Donovan</dc:creator>
  <cp:keywords/>
  <dc:description/>
  <cp:lastModifiedBy>SANABRIA Andres, CFE/RDG</cp:lastModifiedBy>
  <cp:revision>9</cp:revision>
  <dcterms:created xsi:type="dcterms:W3CDTF">2024-02-25T17:47:00Z</dcterms:created>
  <dcterms:modified xsi:type="dcterms:W3CDTF">2024-02-26T23:34:00Z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9058B7A91167723E4FC5FFCC57C1B71B2F2C070E9A94B439EA98C654E6599C90</vt:lpwstr>
  </property>
  <property fmtid="{D5CDD505-2E9C-101B-9397-08002B2CF9AE}" pid="3" name="OecdDocumentCoteLangHash">
    <vt:lpwstr/>
  </property>
</Properties>
</file>