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Pr>
          <w:noProof/>
        </w:rPr>
        <w:drawing>
          <wp:inline distT="0" distB="0" distL="0" distR="0" wp14:anchorId="2732CB74" wp14:editId="76C9AFE7">
            <wp:extent cx="2144332" cy="1057275"/>
            <wp:effectExtent l="0" t="0" r="8890" b="0"/>
            <wp:docPr id="3408093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4332" cy="1057275"/>
                    </a:xfrm>
                    <a:prstGeom prst="rect">
                      <a:avLst/>
                    </a:prstGeom>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31D9EC24" w:rsidR="0005343E" w:rsidRDefault="000526C8">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0526C8">
                  <w:rPr>
                    <w:rStyle w:val="Strong"/>
                  </w:rPr>
                  <w:t>ComPAct Pillar III: Greening Public Administration</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57F08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57F08A49">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57F08A49">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57F08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57F08A49">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57F08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rsidTr="57F08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57F08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57F08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57F08A49">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57F08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57F08A49">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57F08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p w14:paraId="18ABBBF7" w14:textId="77777777" w:rsidR="57F08A49" w:rsidRDefault="57F08A49">
            <w:pPr>
              <w:cnfStyle w:val="000000100000" w:firstRow="0" w:lastRow="0" w:firstColumn="0" w:lastColumn="0" w:oddVBand="0" w:evenVBand="0" w:oddHBand="1" w:evenHBand="0" w:firstRowFirstColumn="0" w:firstRowLastColumn="0" w:lastRowFirstColumn="0" w:lastRowLastColumn="0"/>
            </w:pPr>
          </w:p>
        </w:tc>
      </w:tr>
      <w:tr w:rsidR="00AC0998" w14:paraId="250EBA7A" w14:textId="77777777" w:rsidTr="57F08A49">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57F08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57F08A49">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57F08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57F08A49">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57F08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35ECB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32CB72E" w14:textId="77777777" w:rsidR="000E63E4" w:rsidRPr="00FA19A2" w:rsidRDefault="000E63E4" w:rsidP="000E63E4">
            <w:pPr>
              <w:pStyle w:val="Text1"/>
              <w:ind w:left="0"/>
              <w:rPr>
                <w:color w:val="FF0000"/>
                <w:sz w:val="18"/>
                <w:szCs w:val="18"/>
              </w:rPr>
            </w:pPr>
            <w:r w:rsidRPr="00FA19A2">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357C0CAB" w14:textId="77777777" w:rsidR="000E63E4" w:rsidRDefault="000E63E4" w:rsidP="000E63E4">
            <w:pPr>
              <w:pStyle w:val="Text1"/>
              <w:ind w:left="0"/>
              <w:rPr>
                <w:b w:val="0"/>
                <w:bCs w:val="0"/>
                <w:color w:val="FF0000"/>
                <w:sz w:val="18"/>
                <w:szCs w:val="18"/>
              </w:rPr>
            </w:pPr>
            <w:r w:rsidRPr="00FA19A2">
              <w:rPr>
                <w:b w:val="0"/>
                <w:bCs w:val="0"/>
                <w:color w:val="FF0000"/>
                <w:sz w:val="18"/>
                <w:szCs w:val="18"/>
              </w:rPr>
              <w:t xml:space="preserve">When filling-in the request template, you are therefore invited to </w:t>
            </w:r>
            <w:r w:rsidRPr="00FA19A2">
              <w:rPr>
                <w:color w:val="FF0000"/>
                <w:sz w:val="18"/>
                <w:szCs w:val="18"/>
              </w:rPr>
              <w:t xml:space="preserve">outline your specific problems and needs, taking inspiration from the general overview and adapting it to your national context, and to provide any additional information relevant to your specific context. </w:t>
            </w:r>
          </w:p>
          <w:p w14:paraId="4F1C314E" w14:textId="4F7BAA7B" w:rsidR="002A4F9F" w:rsidRPr="00FA19A2" w:rsidRDefault="00FA19A2" w:rsidP="002A4F9F">
            <w:pPr>
              <w:pStyle w:val="Text1"/>
              <w:ind w:left="0"/>
              <w:rPr>
                <w:b w:val="0"/>
                <w:bCs w:val="0"/>
                <w:color w:val="FF0000"/>
                <w:sz w:val="18"/>
                <w:szCs w:val="18"/>
              </w:rPr>
            </w:pPr>
            <w:r w:rsidRPr="35ECB7F6">
              <w:rPr>
                <w:b w:val="0"/>
                <w:bCs w:val="0"/>
                <w:color w:val="00B050"/>
                <w:sz w:val="18"/>
                <w:szCs w:val="18"/>
              </w:rPr>
              <w:t>Public administrations manage the public sector, which is responsible for over half of EU GDP, employs around 21% of the EU workforce and creates every year a market worth about EUR 670 billion through contracts for public works and supply. Reducing the environmental footprint of the assets, investments, and resources under management by the state can have huge impact on climate and sustainability. Green public finance management serves as a crucial facilitator for a unified government strategy in addressing climate change. A greater use of green budgeting tools will help to redirect public investment, consumption, and taxation to green priorities and away from harmful subsidies. In addition, greening public administration may have leverage effects for promoting innovation, efficiency, effectiveness, cost savings and better services. The flagship would help Member States better define and deliver “greening their public administration” in practice. This flagship fully aligns with and supports implementation of the pillar on Capacity to lead the green transition of the ComPact.</w:t>
            </w:r>
          </w:p>
        </w:tc>
      </w:tr>
      <w:tr w:rsidR="00E052DE" w:rsidRPr="00E052DE" w14:paraId="3FCA4A6F"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35ECB7F6">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35ECB7F6">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35ECB7F6">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lastRenderedPageBreak/>
              <w:t>[Insert Text; between 100-</w:t>
            </w:r>
            <w:r>
              <w:rPr>
                <w:b w:val="0"/>
                <w:bCs w:val="0"/>
                <w:sz w:val="18"/>
                <w:szCs w:val="18"/>
              </w:rPr>
              <w:t>150</w:t>
            </w:r>
            <w:r w:rsidRPr="00E052DE">
              <w:rPr>
                <w:b w:val="0"/>
                <w:bCs w:val="0"/>
                <w:sz w:val="18"/>
                <w:szCs w:val="18"/>
              </w:rPr>
              <w:t xml:space="preserve"> words]</w:t>
            </w:r>
          </w:p>
        </w:tc>
      </w:tr>
    </w:tbl>
    <w:p w14:paraId="05E0885F" w14:textId="417DD733" w:rsidR="35ECB7F6" w:rsidRDefault="35ECB7F6"/>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35ECB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35ECB7F6">
        <w:trPr>
          <w:trHeight w:val="30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sdt>
            <w:sdtPr>
              <w:rPr>
                <w:rFonts w:cs="Arial"/>
                <w:sz w:val="18"/>
                <w:szCs w:val="18"/>
                <w:lang w:val="en-US"/>
              </w:rPr>
              <w:id w:val="1027612752"/>
              <w:lock w:val="sdtLocked"/>
              <w:placeholder>
                <w:docPart w:val="57E2B216C68A46D9A4CA20D6F88B9E6E"/>
              </w:placeholder>
            </w:sdtPr>
            <w:sdtEndPr>
              <w:rPr>
                <w:rFonts w:cs="Times New Roman"/>
                <w:sz w:val="20"/>
                <w:szCs w:val="20"/>
              </w:rPr>
            </w:sdtEndPr>
            <w:sdtContent>
              <w:p w14:paraId="3974D159" w14:textId="77777777" w:rsidR="004A1B09" w:rsidRPr="00FA19A2" w:rsidRDefault="004A1B09" w:rsidP="00FA19A2">
                <w:pPr>
                  <w:spacing w:line="276" w:lineRule="auto"/>
                  <w:rPr>
                    <w:rFonts w:cs="Arial"/>
                    <w:b w:val="0"/>
                    <w:bCs w:val="0"/>
                    <w:i/>
                    <w:iCs/>
                    <w:color w:val="A6A6A6" w:themeColor="background1" w:themeShade="A6"/>
                    <w:sz w:val="18"/>
                    <w:szCs w:val="18"/>
                    <w:lang w:val="en-US"/>
                  </w:rPr>
                </w:pPr>
                <w:r w:rsidRPr="00FA19A2">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2D6BB909" w14:textId="76A5979B" w:rsidR="57F08A49" w:rsidRPr="00A768AE" w:rsidRDefault="00EA5B27" w:rsidP="00A768AE">
                <w:pPr>
                  <w:spacing w:line="276" w:lineRule="auto"/>
                  <w:rPr>
                    <w:sz w:val="18"/>
                    <w:szCs w:val="18"/>
                  </w:rPr>
                </w:pPr>
                <w:r w:rsidRPr="001C23B7">
                  <w:rPr>
                    <w:rFonts w:cs="Arial"/>
                    <w:i/>
                    <w:iCs/>
                    <w:sz w:val="18"/>
                    <w:szCs w:val="18"/>
                    <w:lang w:val="en-US"/>
                  </w:rPr>
                  <w:t>GOVERNANCE AND PUBLIC ADMINISTRATION</w:t>
                </w:r>
              </w:p>
            </w:sdtContent>
          </w:sdt>
        </w:tc>
      </w:tr>
      <w:tr w:rsidR="004A1B09" w:rsidRPr="00E052DE" w14:paraId="23F7AA64"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2.1.b</w:t>
            </w:r>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35ECB7F6">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4A1B09" w:rsidRPr="00E052DE" w14:paraId="2FDD47CC"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6AD8A549" w:rsidR="004A1B09" w:rsidRPr="00DB34B1" w:rsidRDefault="00DB34B1" w:rsidP="00DB34B1">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49E88A59" w:rsidR="004A1B09" w:rsidRPr="00FC7B37" w:rsidRDefault="004A1B09" w:rsidP="00524337">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4A1B09" w:rsidRPr="00FC7B37" w:rsidRDefault="004A1B09" w:rsidP="000E7FDF">
            <w:pPr>
              <w:pStyle w:val="Text1"/>
              <w:ind w:left="0"/>
              <w:rPr>
                <w:b w:val="0"/>
                <w:bCs w:val="0"/>
                <w:sz w:val="18"/>
                <w:szCs w:val="18"/>
              </w:rPr>
            </w:pPr>
            <w:r w:rsidRPr="00FC7B37">
              <w:rPr>
                <w:b w:val="0"/>
                <w:bCs w:val="0"/>
                <w:sz w:val="18"/>
                <w:szCs w:val="18"/>
              </w:rPr>
              <w:t>[Insert Text; between 100-200 words]</w:t>
            </w:r>
          </w:p>
        </w:tc>
      </w:tr>
      <w:tr w:rsidR="004A1B09" w:rsidRPr="00E052DE" w14:paraId="70DF1877"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FC7B37" w:rsidRDefault="004A1B09" w:rsidP="00F70FC2">
            <w:pPr>
              <w:rPr>
                <w:b w:val="0"/>
                <w:bCs w:val="0"/>
                <w:sz w:val="18"/>
                <w:szCs w:val="18"/>
              </w:rPr>
            </w:pPr>
            <w:r w:rsidRPr="00FC7B37">
              <w:rPr>
                <w:b w:val="0"/>
                <w:bCs w:val="0"/>
                <w:sz w:val="18"/>
                <w:szCs w:val="18"/>
              </w:rPr>
              <w:t>[Insert Text; between 100-200 words]</w:t>
            </w:r>
          </w:p>
        </w:tc>
      </w:tr>
      <w:tr w:rsidR="004A1B09" w:rsidRPr="00E052DE" w14:paraId="52E7F34E"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b w:val="0"/>
                <w:bCs w:val="0"/>
                <w:sz w:val="18"/>
                <w:szCs w:val="18"/>
              </w:rPr>
            </w:pPr>
            <w:r>
              <w:rPr>
                <w:sz w:val="18"/>
                <w:szCs w:val="18"/>
              </w:rPr>
              <w:t xml:space="preserve">2.2.c </w:t>
            </w:r>
            <w:r w:rsidRPr="00B8223C">
              <w:rPr>
                <w:color w:val="FF0000"/>
                <w:sz w:val="18"/>
                <w:szCs w:val="18"/>
              </w:rPr>
              <w:t>*</w:t>
            </w:r>
          </w:p>
        </w:tc>
        <w:tc>
          <w:tcPr>
            <w:tcW w:w="9607" w:type="dxa"/>
          </w:tcPr>
          <w:p w14:paraId="6F70BBF7" w14:textId="68797D6D"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574ED5">
              <w:rPr>
                <w:b/>
                <w:sz w:val="18"/>
                <w:szCs w:val="18"/>
              </w:rPr>
              <w:t>b</w:t>
            </w:r>
            <w:r w:rsidRPr="00697D35">
              <w:rPr>
                <w:b/>
                <w:sz w:val="18"/>
                <w:szCs w:val="18"/>
              </w:rPr>
              <w:t>?</w:t>
            </w:r>
          </w:p>
        </w:tc>
      </w:tr>
      <w:tr w:rsidR="004A1B09" w:rsidRPr="00E052DE" w14:paraId="3EFDCEFB"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663F4144" w14:textId="77777777" w:rsidR="00BE33BF" w:rsidRPr="00FA19A2" w:rsidRDefault="00BE33BF" w:rsidP="00BE33BF">
            <w:pPr>
              <w:pStyle w:val="Text1"/>
              <w:ind w:left="0"/>
              <w:rPr>
                <w:b w:val="0"/>
                <w:bCs w:val="0"/>
                <w:color w:val="FF0000"/>
                <w:sz w:val="18"/>
                <w:szCs w:val="18"/>
              </w:rPr>
            </w:pPr>
            <w:r w:rsidRPr="00FA19A2">
              <w:rPr>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23B7BDF3" w14:textId="77777777" w:rsidR="00BE33BF" w:rsidRPr="00FA19A2" w:rsidRDefault="00BE33BF" w:rsidP="00BE33BF">
            <w:pPr>
              <w:pStyle w:val="Text1"/>
              <w:ind w:left="0"/>
              <w:rPr>
                <w:color w:val="FF0000"/>
                <w:sz w:val="18"/>
                <w:szCs w:val="18"/>
              </w:rPr>
            </w:pPr>
            <w:r w:rsidRPr="00FA19A2">
              <w:rPr>
                <w:color w:val="FF0000"/>
                <w:sz w:val="18"/>
                <w:szCs w:val="18"/>
              </w:rPr>
              <w:t xml:space="preserve">This list does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402EC655" w14:textId="77777777" w:rsidR="002158A4" w:rsidRPr="00FA19A2" w:rsidRDefault="002158A4" w:rsidP="002158A4">
            <w:pPr>
              <w:pStyle w:val="Text1"/>
              <w:ind w:left="0"/>
              <w:rPr>
                <w:b w:val="0"/>
                <w:bCs w:val="0"/>
                <w:color w:val="FF0000"/>
                <w:sz w:val="18"/>
                <w:szCs w:val="18"/>
              </w:rPr>
            </w:pPr>
            <w:r w:rsidRPr="00FA19A2">
              <w:rPr>
                <w:color w:val="FF0000"/>
                <w:sz w:val="18"/>
                <w:szCs w:val="18"/>
              </w:rPr>
              <w:t>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in the box provided relevant to your specific context.</w:t>
            </w:r>
          </w:p>
          <w:p w14:paraId="1937EF5E" w14:textId="472D60DB" w:rsidR="004A1B09" w:rsidRPr="00FA19A2" w:rsidRDefault="4FB0B2DC" w:rsidP="35ECB7F6">
            <w:pPr>
              <w:rPr>
                <w:rFonts w:cs="Arial"/>
                <w:b w:val="0"/>
                <w:bCs w:val="0"/>
                <w:color w:val="000000" w:themeColor="text1"/>
                <w:u w:val="single"/>
              </w:rPr>
            </w:pPr>
            <w:r w:rsidRPr="35ECB7F6">
              <w:rPr>
                <w:rFonts w:cs="Arial"/>
                <w:color w:val="00B050"/>
                <w:u w:val="single"/>
              </w:rPr>
              <w:t>Proposed technical support measures pursuant to Art.8 of the TSI Regulation:</w:t>
            </w:r>
          </w:p>
          <w:p w14:paraId="7691C9A7" w14:textId="7CC1E008" w:rsidR="00EA5B27" w:rsidRPr="00FA19A2" w:rsidRDefault="160DA3E5" w:rsidP="35ECB7F6">
            <w:pPr>
              <w:rPr>
                <w:rFonts w:cstheme="minorBidi"/>
                <w:b w:val="0"/>
                <w:bCs w:val="0"/>
                <w:i/>
                <w:iCs/>
                <w:color w:val="70AD47" w:themeColor="accent6"/>
                <w:sz w:val="18"/>
                <w:szCs w:val="18"/>
              </w:rPr>
            </w:pPr>
            <w:r w:rsidRPr="35ECB7F6">
              <w:rPr>
                <w:rFonts w:cstheme="minorBidi"/>
                <w:b w:val="0"/>
                <w:bCs w:val="0"/>
                <w:i/>
                <w:iCs/>
                <w:color w:val="00B050"/>
                <w:sz w:val="18"/>
                <w:szCs w:val="18"/>
              </w:rPr>
              <w:t xml:space="preserve">Under this </w:t>
            </w:r>
            <w:r w:rsidR="09FCEAE9" w:rsidRPr="35ECB7F6">
              <w:rPr>
                <w:rFonts w:cstheme="minorBidi"/>
                <w:b w:val="0"/>
                <w:bCs w:val="0"/>
                <w:i/>
                <w:iCs/>
                <w:color w:val="00B050"/>
                <w:sz w:val="18"/>
                <w:szCs w:val="18"/>
              </w:rPr>
              <w:t xml:space="preserve">flagship Member States’ public administration bodies </w:t>
            </w:r>
            <w:r w:rsidRPr="35ECB7F6">
              <w:rPr>
                <w:rFonts w:cstheme="minorBidi"/>
                <w:b w:val="0"/>
                <w:bCs w:val="0"/>
                <w:i/>
                <w:iCs/>
                <w:color w:val="00B050"/>
                <w:sz w:val="18"/>
                <w:szCs w:val="18"/>
              </w:rPr>
              <w:t xml:space="preserve">may request support to help them </w:t>
            </w:r>
            <w:r w:rsidR="09FCEAE9" w:rsidRPr="35ECB7F6">
              <w:rPr>
                <w:rFonts w:cstheme="minorBidi"/>
                <w:b w:val="0"/>
                <w:bCs w:val="0"/>
                <w:i/>
                <w:iCs/>
                <w:color w:val="00B050"/>
                <w:sz w:val="18"/>
                <w:szCs w:val="18"/>
              </w:rPr>
              <w:t>reduce the environmental footprint of the state through organisation of work and management of resources, by adapting public finances and operations at national, regional, and local level to the requirements of the green transition. The focus is on building governance and systems taking a whole-of -government approach, and not individual sector applications. Th</w:t>
            </w:r>
            <w:r w:rsidRPr="35ECB7F6">
              <w:rPr>
                <w:rFonts w:cstheme="minorBidi"/>
                <w:b w:val="0"/>
                <w:bCs w:val="0"/>
                <w:i/>
                <w:iCs/>
                <w:color w:val="00B050"/>
                <w:sz w:val="18"/>
                <w:szCs w:val="18"/>
              </w:rPr>
              <w:t>e</w:t>
            </w:r>
            <w:r w:rsidR="09FCEAE9" w:rsidRPr="35ECB7F6">
              <w:rPr>
                <w:rFonts w:cstheme="minorBidi"/>
                <w:b w:val="0"/>
                <w:bCs w:val="0"/>
                <w:i/>
                <w:iCs/>
                <w:color w:val="00B050"/>
                <w:sz w:val="18"/>
                <w:szCs w:val="18"/>
              </w:rPr>
              <w:t xml:space="preserve"> support provided will place a focus on some “core functions” of the state, including policy making and implementation, budgeting, public investment and asset management, public procurement, multi-level governance.</w:t>
            </w:r>
          </w:p>
          <w:p w14:paraId="3C2DB82C" w14:textId="21BCC106" w:rsidR="004A1B09" w:rsidRPr="00FA19A2" w:rsidRDefault="6FA13285" w:rsidP="35ECB7F6">
            <w:pPr>
              <w:rPr>
                <w:rFonts w:cstheme="minorBidi"/>
                <w:color w:val="000000" w:themeColor="text1"/>
                <w:sz w:val="18"/>
                <w:szCs w:val="18"/>
                <w:u w:val="single"/>
              </w:rPr>
            </w:pPr>
            <w:r w:rsidRPr="35ECB7F6">
              <w:rPr>
                <w:rFonts w:cstheme="minorBidi"/>
                <w:color w:val="00B050"/>
                <w:sz w:val="18"/>
                <w:szCs w:val="18"/>
                <w:u w:val="single"/>
              </w:rPr>
              <w:lastRenderedPageBreak/>
              <w:t>The below measures could be used as inspiration when drafting your request:</w:t>
            </w:r>
          </w:p>
          <w:p w14:paraId="5237664C" w14:textId="7F4EA998" w:rsidR="004A1B09" w:rsidRPr="00FA19A2" w:rsidRDefault="1315F89E" w:rsidP="35ECB7F6">
            <w:pPr>
              <w:pStyle w:val="Text1"/>
              <w:ind w:left="0"/>
              <w:rPr>
                <w:rFonts w:cstheme="minorBidi"/>
                <w:b w:val="0"/>
                <w:bCs w:val="0"/>
                <w:color w:val="00B050"/>
                <w:sz w:val="18"/>
                <w:szCs w:val="18"/>
              </w:rPr>
            </w:pPr>
            <w:r w:rsidRPr="35ECB7F6">
              <w:rPr>
                <w:rFonts w:cs="Segoe UI Symbol"/>
                <w:sz w:val="18"/>
                <w:szCs w:val="18"/>
              </w:rPr>
              <w:t xml:space="preserve">- </w:t>
            </w:r>
            <w:r w:rsidR="19BE28AB" w:rsidRPr="35ECB7F6">
              <w:rPr>
                <w:rFonts w:cs="Segoe UI Symbol"/>
                <w:b w:val="0"/>
                <w:bCs w:val="0"/>
                <w:color w:val="00B050"/>
                <w:sz w:val="18"/>
                <w:szCs w:val="18"/>
              </w:rPr>
              <w:t xml:space="preserve">Provision of expertise </w:t>
            </w:r>
            <w:r w:rsidR="19BE28AB" w:rsidRPr="35ECB7F6">
              <w:rPr>
                <w:rFonts w:eastAsia="Calibri" w:cstheme="minorBidi"/>
                <w:b w:val="0"/>
                <w:bCs w:val="0"/>
                <w:color w:val="00B050"/>
                <w:sz w:val="18"/>
                <w:szCs w:val="18"/>
              </w:rPr>
              <w:t>and guidance towards solutions and new ways of overcoming institutional fragmentation or silos when dealing with greening of the state – which could include guidance for promoting whole-of-government and multi-level governance approaches, cross-sector collaboration and arbitration in policy design, monitoring and evaluation, strategic workforce planning, or service provision to be able to better meet green objectives.</w:t>
            </w:r>
          </w:p>
          <w:p w14:paraId="2DD2AB30" w14:textId="47DA17FC" w:rsidR="004A1B09" w:rsidRPr="00FA19A2" w:rsidRDefault="0E0207A5" w:rsidP="35ECB7F6">
            <w:pPr>
              <w:pStyle w:val="Text1"/>
              <w:ind w:left="0"/>
              <w:rPr>
                <w:rFonts w:cstheme="minorBidi"/>
                <w:b w:val="0"/>
                <w:bCs w:val="0"/>
                <w:color w:val="00B050"/>
                <w:sz w:val="18"/>
                <w:szCs w:val="18"/>
              </w:rPr>
            </w:pPr>
            <w:r w:rsidRPr="35ECB7F6">
              <w:rPr>
                <w:rFonts w:cs="Segoe UI Symbol"/>
                <w:b w:val="0"/>
                <w:bCs w:val="0"/>
                <w:color w:val="00B050"/>
                <w:sz w:val="18"/>
                <w:szCs w:val="18"/>
              </w:rPr>
              <w:t xml:space="preserve">- </w:t>
            </w:r>
            <w:r w:rsidR="19BE28AB" w:rsidRPr="35ECB7F6">
              <w:rPr>
                <w:rFonts w:cs="Segoe UI Symbol"/>
                <w:b w:val="0"/>
                <w:bCs w:val="0"/>
                <w:color w:val="00B050"/>
                <w:sz w:val="18"/>
                <w:szCs w:val="18"/>
              </w:rPr>
              <w:t>Provision of technical support</w:t>
            </w:r>
            <w:r w:rsidR="19BE28AB" w:rsidRPr="35ECB7F6">
              <w:rPr>
                <w:rFonts w:cstheme="minorBidi"/>
                <w:b w:val="0"/>
                <w:bCs w:val="0"/>
                <w:color w:val="00B050"/>
                <w:sz w:val="18"/>
                <w:szCs w:val="18"/>
              </w:rPr>
              <w:t xml:space="preserve"> towards greening public asset and investment management. This could include support for strengthening infrastructure governance for climate-responsive public investment promoting the use of methodologies for calculating and reducing the carbon footprint, risk management or promoting the Eco-Management and Audit Scheme</w:t>
            </w:r>
            <w:r w:rsidR="6FA13285" w:rsidRPr="35ECB7F6">
              <w:rPr>
                <w:rFonts w:cstheme="minorBidi"/>
                <w:b w:val="0"/>
                <w:bCs w:val="0"/>
                <w:color w:val="00B050"/>
                <w:sz w:val="18"/>
                <w:szCs w:val="18"/>
              </w:rPr>
              <w:t>.</w:t>
            </w:r>
          </w:p>
          <w:p w14:paraId="7A9C71D3" w14:textId="6DF7EE90" w:rsidR="004A1B09" w:rsidRPr="00FA19A2" w:rsidRDefault="196E92F4" w:rsidP="35ECB7F6">
            <w:pPr>
              <w:pStyle w:val="Text1"/>
              <w:ind w:left="0"/>
              <w:rPr>
                <w:rFonts w:cstheme="minorBidi"/>
                <w:b w:val="0"/>
                <w:bCs w:val="0"/>
                <w:color w:val="00B050"/>
                <w:sz w:val="18"/>
                <w:szCs w:val="18"/>
              </w:rPr>
            </w:pPr>
            <w:r w:rsidRPr="35ECB7F6">
              <w:rPr>
                <w:rFonts w:cs="Segoe UI Symbol"/>
                <w:b w:val="0"/>
                <w:bCs w:val="0"/>
                <w:color w:val="00B050"/>
                <w:sz w:val="18"/>
                <w:szCs w:val="18"/>
              </w:rPr>
              <w:t xml:space="preserve">- </w:t>
            </w:r>
            <w:r w:rsidR="613D6AD0" w:rsidRPr="35ECB7F6">
              <w:rPr>
                <w:rFonts w:cs="Segoe UI Symbol"/>
                <w:b w:val="0"/>
                <w:bCs w:val="0"/>
                <w:color w:val="00B050"/>
                <w:sz w:val="18"/>
                <w:szCs w:val="18"/>
              </w:rPr>
              <w:t>Provision of support and guidance towards i</w:t>
            </w:r>
            <w:r w:rsidR="613D6AD0" w:rsidRPr="35ECB7F6">
              <w:rPr>
                <w:rFonts w:eastAsia="Calibri" w:cstheme="minorBidi"/>
                <w:b w:val="0"/>
                <w:bCs w:val="0"/>
                <w:color w:val="00B050"/>
                <w:sz w:val="18"/>
                <w:szCs w:val="18"/>
              </w:rPr>
              <w:t>ntegrating green Public Financial Management (PFM) reforms. This encompasses elements like fiscal transparency, external oversight, and collaboration with state-owned enterprises and subnational/local governments. Different tools and methods like green budgeting, implementing the “Do No Significant Harm” principle or identifying and assessing environmentally harmful subsidies are key in this respect.</w:t>
            </w:r>
          </w:p>
          <w:p w14:paraId="2011837D" w14:textId="65B20EE5" w:rsidR="00AA3923" w:rsidRPr="00FA19A2" w:rsidRDefault="6FA13285" w:rsidP="35ECB7F6">
            <w:pPr>
              <w:pStyle w:val="Text1"/>
              <w:ind w:left="0"/>
              <w:rPr>
                <w:rFonts w:eastAsia="Verdana" w:cs="Verdana"/>
                <w:b w:val="0"/>
                <w:bCs w:val="0"/>
                <w:color w:val="00B050"/>
                <w:sz w:val="18"/>
                <w:szCs w:val="18"/>
              </w:rPr>
            </w:pPr>
            <w:r w:rsidRPr="35ECB7F6">
              <w:rPr>
                <w:rFonts w:ascii="Segoe UI Symbol" w:hAnsi="Segoe UI Symbol" w:cs="Segoe UI Symbol"/>
                <w:b w:val="0"/>
                <w:bCs w:val="0"/>
                <w:color w:val="00B050"/>
                <w:sz w:val="18"/>
                <w:szCs w:val="18"/>
              </w:rPr>
              <w:t>-</w:t>
            </w:r>
            <w:r w:rsidRPr="35ECB7F6">
              <w:rPr>
                <w:rFonts w:eastAsia="Verdana" w:cs="Verdana"/>
                <w:b w:val="0"/>
                <w:bCs w:val="0"/>
                <w:color w:val="00B050"/>
                <w:sz w:val="18"/>
                <w:szCs w:val="18"/>
              </w:rPr>
              <w:t xml:space="preserve"> Provision of technical support towards green and sustainable public procurement, for example by providing support for the development of </w:t>
            </w:r>
            <w:r w:rsidR="6C490F94" w:rsidRPr="35ECB7F6">
              <w:rPr>
                <w:rFonts w:eastAsia="Verdana" w:cs="Verdana"/>
                <w:b w:val="0"/>
                <w:bCs w:val="0"/>
                <w:color w:val="00B050"/>
                <w:sz w:val="18"/>
                <w:szCs w:val="18"/>
              </w:rPr>
              <w:t xml:space="preserve">a </w:t>
            </w:r>
            <w:r w:rsidRPr="35ECB7F6">
              <w:rPr>
                <w:rFonts w:eastAsia="Verdana" w:cs="Verdana"/>
                <w:b w:val="0"/>
                <w:bCs w:val="0"/>
                <w:color w:val="00B050"/>
                <w:sz w:val="18"/>
                <w:szCs w:val="18"/>
              </w:rPr>
              <w:t>system that could put the entire life cycle cost of a contract at the centre</w:t>
            </w:r>
            <w:r w:rsidR="7700ACCF" w:rsidRPr="35ECB7F6">
              <w:rPr>
                <w:rFonts w:eastAsia="Verdana" w:cs="Verdana"/>
                <w:b w:val="0"/>
                <w:bCs w:val="0"/>
                <w:color w:val="00B050"/>
                <w:sz w:val="18"/>
                <w:szCs w:val="18"/>
              </w:rPr>
              <w:t>, with concrete</w:t>
            </w:r>
            <w:r w:rsidR="672E7152" w:rsidRPr="35ECB7F6">
              <w:rPr>
                <w:rFonts w:eastAsia="Verdana" w:cs="Verdana"/>
                <w:b w:val="0"/>
                <w:bCs w:val="0"/>
                <w:color w:val="00B050"/>
                <w:sz w:val="18"/>
                <w:szCs w:val="18"/>
              </w:rPr>
              <w:t xml:space="preserve"> </w:t>
            </w:r>
            <w:r w:rsidRPr="35ECB7F6">
              <w:rPr>
                <w:rFonts w:eastAsia="Verdana" w:cs="Verdana"/>
                <w:b w:val="0"/>
                <w:bCs w:val="0"/>
                <w:color w:val="00B050"/>
                <w:sz w:val="18"/>
                <w:szCs w:val="18"/>
              </w:rPr>
              <w:t xml:space="preserve">measures </w:t>
            </w:r>
            <w:r w:rsidR="65A252CA" w:rsidRPr="35ECB7F6">
              <w:rPr>
                <w:rFonts w:eastAsia="Verdana" w:cs="Verdana"/>
                <w:b w:val="0"/>
                <w:bCs w:val="0"/>
                <w:color w:val="00B050"/>
                <w:sz w:val="18"/>
                <w:szCs w:val="18"/>
              </w:rPr>
              <w:t xml:space="preserve">for sustainable public procurement </w:t>
            </w:r>
            <w:r w:rsidR="04E435D1" w:rsidRPr="35ECB7F6">
              <w:rPr>
                <w:rFonts w:eastAsia="Verdana" w:cs="Verdana"/>
                <w:b w:val="0"/>
                <w:bCs w:val="0"/>
                <w:color w:val="00B050"/>
                <w:sz w:val="18"/>
                <w:szCs w:val="18"/>
              </w:rPr>
              <w:t xml:space="preserve">and </w:t>
            </w:r>
            <w:r w:rsidR="40002CB0" w:rsidRPr="35ECB7F6">
              <w:rPr>
                <w:rFonts w:eastAsia="Verdana" w:cs="Verdana"/>
                <w:b w:val="0"/>
                <w:bCs w:val="0"/>
                <w:color w:val="00B050"/>
                <w:sz w:val="18"/>
                <w:szCs w:val="18"/>
              </w:rPr>
              <w:t xml:space="preserve">their </w:t>
            </w:r>
            <w:r w:rsidR="07B1F359" w:rsidRPr="35ECB7F6">
              <w:rPr>
                <w:rFonts w:eastAsia="Verdana" w:cs="Verdana"/>
                <w:b w:val="0"/>
                <w:bCs w:val="0"/>
                <w:color w:val="00B050"/>
                <w:sz w:val="18"/>
                <w:szCs w:val="18"/>
              </w:rPr>
              <w:t xml:space="preserve">respective </w:t>
            </w:r>
            <w:r w:rsidRPr="35ECB7F6">
              <w:rPr>
                <w:rFonts w:eastAsia="Verdana" w:cs="Verdana"/>
                <w:b w:val="0"/>
                <w:bCs w:val="0"/>
                <w:color w:val="00B050"/>
                <w:sz w:val="18"/>
                <w:szCs w:val="18"/>
              </w:rPr>
              <w:t>impact and by supporting contractors in adapting to new requirements.</w:t>
            </w:r>
          </w:p>
          <w:p w14:paraId="58F826FE" w14:textId="46CFB7BB" w:rsidR="00C72CD4" w:rsidRPr="00FA19A2" w:rsidRDefault="00C72CD4" w:rsidP="5B18A9FE">
            <w:pPr>
              <w:pStyle w:val="Text1"/>
              <w:ind w:left="0"/>
              <w:rPr>
                <w:i/>
                <w:iCs/>
                <w:color w:val="00B050"/>
                <w:sz w:val="18"/>
                <w:szCs w:val="18"/>
              </w:rPr>
            </w:pPr>
            <w:r w:rsidRPr="00FA19A2">
              <w:rPr>
                <w:i/>
                <w:iCs/>
                <w:color w:val="00B050"/>
                <w:sz w:val="18"/>
                <w:szCs w:val="18"/>
              </w:rPr>
              <w:t>TEXT BOX HERE</w:t>
            </w:r>
          </w:p>
          <w:p w14:paraId="276DEBDA" w14:textId="375E731F" w:rsidR="004A1B09" w:rsidRPr="00FA19A2" w:rsidRDefault="004A1B09" w:rsidP="000E7FDF">
            <w:pPr>
              <w:pStyle w:val="Text1"/>
              <w:ind w:left="0"/>
              <w:rPr>
                <w:i/>
                <w:iCs/>
                <w:color w:val="00B050"/>
                <w:sz w:val="18"/>
                <w:szCs w:val="18"/>
              </w:rPr>
            </w:pPr>
          </w:p>
        </w:tc>
      </w:tr>
      <w:tr w:rsidR="004A1B09" w:rsidRPr="00E052DE" w14:paraId="2BF0AECD"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4A1B09" w:rsidRPr="00E052DE" w:rsidRDefault="004A1B09" w:rsidP="00366EFF">
            <w:pPr>
              <w:pStyle w:val="Text1"/>
              <w:ind w:left="0"/>
              <w:rPr>
                <w:b w:val="0"/>
                <w:bCs w:val="0"/>
                <w:sz w:val="18"/>
                <w:szCs w:val="18"/>
              </w:rPr>
            </w:pPr>
            <w:r w:rsidRPr="00743659">
              <w:rPr>
                <w:b w:val="0"/>
                <w:bCs w:val="0"/>
                <w:sz w:val="18"/>
                <w:szCs w:val="18"/>
              </w:rPr>
              <w:t>[Insert Text between 50-100 words]</w:t>
            </w:r>
          </w:p>
        </w:tc>
      </w:tr>
      <w:tr w:rsidR="004A1B09" w:rsidRPr="00E052DE" w14:paraId="6D47E61D"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4A1B09" w:rsidRPr="00E052DE" w14:paraId="7EDEDCF4"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6AC4D686" w:rsidR="004A1B09" w:rsidRPr="005631D7" w:rsidRDefault="00E14282" w:rsidP="00366EFF">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4A1B09" w:rsidRPr="00E052DE" w14:paraId="0AC77F48"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4A1B09" w:rsidRPr="00F214A9" w:rsidRDefault="004A1B09" w:rsidP="00366EFF">
            <w:pPr>
              <w:pStyle w:val="Text1"/>
              <w:ind w:left="0"/>
              <w:rPr>
                <w:b w:val="0"/>
                <w:bCs w:val="0"/>
                <w:strike/>
                <w:sz w:val="18"/>
                <w:szCs w:val="18"/>
              </w:rPr>
            </w:pPr>
            <w:r>
              <w:rPr>
                <w:sz w:val="18"/>
                <w:szCs w:val="18"/>
              </w:rPr>
              <w:t>2.4 a</w:t>
            </w:r>
          </w:p>
        </w:tc>
        <w:tc>
          <w:tcPr>
            <w:tcW w:w="9607"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E052DE" w14:paraId="6ED80193"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4A1B09" w:rsidRPr="00F214A9" w:rsidRDefault="004A1B09" w:rsidP="00366EFF">
            <w:pPr>
              <w:pStyle w:val="Text1"/>
              <w:ind w:left="0"/>
              <w:rPr>
                <w:sz w:val="18"/>
                <w:szCs w:val="18"/>
              </w:rPr>
            </w:pPr>
            <w:r w:rsidRPr="00743659">
              <w:rPr>
                <w:b w:val="0"/>
                <w:bCs w:val="0"/>
                <w:sz w:val="18"/>
                <w:szCs w:val="18"/>
              </w:rPr>
              <w:t>[Insert Text between 50-100 words]</w:t>
            </w:r>
          </w:p>
        </w:tc>
      </w:tr>
      <w:tr w:rsidR="004A1B09" w:rsidRPr="00E052DE" w14:paraId="654A9D12"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4A1B09" w:rsidRPr="00E052DE" w:rsidRDefault="004A1B09" w:rsidP="00366EFF">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E052DE" w14:paraId="00D0875A"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677D0B30"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4A1B09" w:rsidRPr="00E052DE" w:rsidRDefault="004A1B09" w:rsidP="00366EFF">
            <w:pPr>
              <w:pStyle w:val="Text1"/>
              <w:ind w:left="0"/>
              <w:rPr>
                <w:sz w:val="18"/>
                <w:szCs w:val="18"/>
              </w:rPr>
            </w:pPr>
            <w:r>
              <w:rPr>
                <w:sz w:val="18"/>
                <w:szCs w:val="18"/>
              </w:rPr>
              <w:t>2.6</w:t>
            </w:r>
          </w:p>
        </w:tc>
        <w:tc>
          <w:tcPr>
            <w:tcW w:w="9607" w:type="dxa"/>
          </w:tcPr>
          <w:p w14:paraId="229C768F" w14:textId="49BACA7C" w:rsidR="004A1B09" w:rsidRPr="00A54686"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 xml:space="preserve">(e.g., private providers, international organisations, public </w:t>
            </w:r>
            <w:r>
              <w:rPr>
                <w:b/>
                <w:sz w:val="18"/>
                <w:szCs w:val="18"/>
              </w:rPr>
              <w:lastRenderedPageBreak/>
              <w:t>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4A1B09" w:rsidRPr="00E052DE" w14:paraId="340E834B"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4A1B09" w:rsidRPr="00E052DE" w:rsidRDefault="004A1B09" w:rsidP="00366EFF">
            <w:pPr>
              <w:pStyle w:val="Text1"/>
              <w:ind w:left="0"/>
              <w:rPr>
                <w:b w:val="0"/>
                <w:bCs w:val="0"/>
                <w:sz w:val="18"/>
                <w:szCs w:val="18"/>
              </w:rPr>
            </w:pPr>
            <w:r w:rsidRPr="00A00C95">
              <w:rPr>
                <w:b w:val="0"/>
                <w:bCs w:val="0"/>
                <w:sz w:val="18"/>
                <w:szCs w:val="18"/>
              </w:rPr>
              <w:lastRenderedPageBreak/>
              <w:t>[Insert Text; between 200-250 words]</w:t>
            </w:r>
          </w:p>
        </w:tc>
      </w:tr>
      <w:tr w:rsidR="004A1B09" w:rsidRPr="00E052DE" w14:paraId="61EB6223"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4A1B09" w:rsidRPr="00E052DE" w:rsidRDefault="004A1B09" w:rsidP="00366EFF">
            <w:pPr>
              <w:pStyle w:val="Text1"/>
              <w:ind w:left="0"/>
              <w:rPr>
                <w:sz w:val="18"/>
                <w:szCs w:val="18"/>
              </w:rPr>
            </w:pPr>
            <w:r>
              <w:rPr>
                <w:sz w:val="18"/>
                <w:szCs w:val="18"/>
              </w:rPr>
              <w:t>2.7</w:t>
            </w:r>
          </w:p>
        </w:tc>
        <w:tc>
          <w:tcPr>
            <w:tcW w:w="9607"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E052DE" w14:paraId="6C094E3B"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11531C00"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4A1B09" w:rsidRPr="00E052DE" w:rsidRDefault="004A1B09" w:rsidP="00366EFF">
            <w:pPr>
              <w:pStyle w:val="Text1"/>
              <w:ind w:left="0"/>
              <w:rPr>
                <w:sz w:val="18"/>
                <w:szCs w:val="18"/>
              </w:rPr>
            </w:pPr>
            <w:r>
              <w:rPr>
                <w:sz w:val="18"/>
                <w:szCs w:val="18"/>
              </w:rPr>
              <w:t xml:space="preserve">2.8 </w:t>
            </w:r>
            <w:r w:rsidRPr="00B8223C">
              <w:rPr>
                <w:color w:val="FF0000"/>
                <w:sz w:val="18"/>
                <w:szCs w:val="18"/>
              </w:rPr>
              <w:t>*</w:t>
            </w:r>
          </w:p>
        </w:tc>
        <w:tc>
          <w:tcPr>
            <w:tcW w:w="9607"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E052DE" w14:paraId="2C746EE6"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4A1B09" w:rsidRPr="00E052DE" w:rsidRDefault="004A1B09" w:rsidP="00366EFF">
            <w:pPr>
              <w:pStyle w:val="Text1"/>
              <w:ind w:left="0"/>
              <w:rPr>
                <w:b w:val="0"/>
                <w:bCs w:val="0"/>
                <w:sz w:val="18"/>
                <w:szCs w:val="18"/>
              </w:rPr>
            </w:pPr>
            <w:r w:rsidRPr="00B8675C">
              <w:rPr>
                <w:b w:val="0"/>
                <w:bCs w:val="0"/>
                <w:sz w:val="18"/>
                <w:szCs w:val="18"/>
              </w:rPr>
              <w:t>[Insert Text; between 150-200 words]</w:t>
            </w:r>
          </w:p>
        </w:tc>
      </w:tr>
      <w:tr w:rsidR="004A1B09" w:rsidRPr="00E052DE" w14:paraId="4DDA90D7" w14:textId="77777777" w:rsidTr="35ECB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4A1B09" w:rsidRPr="00E052DE" w:rsidRDefault="004A1B09" w:rsidP="00366EFF">
            <w:pPr>
              <w:pStyle w:val="Text1"/>
              <w:ind w:left="0"/>
              <w:rPr>
                <w:sz w:val="18"/>
                <w:szCs w:val="18"/>
              </w:rPr>
            </w:pPr>
            <w:r>
              <w:rPr>
                <w:sz w:val="18"/>
                <w:szCs w:val="18"/>
              </w:rPr>
              <w:t>2.9</w:t>
            </w:r>
          </w:p>
        </w:tc>
        <w:tc>
          <w:tcPr>
            <w:tcW w:w="9607"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E052DE" w14:paraId="1893EBFE" w14:textId="77777777" w:rsidTr="35ECB7F6">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4A1B09" w:rsidRPr="00E052DE" w:rsidRDefault="004A1B09"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57F08A49">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574ED5">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574ED5">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574ED5">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574ED5">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574ED5">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574ED5">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rsidTr="57F08A49">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4C40433E"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rPr>
        <w:drawing>
          <wp:inline distT="0" distB="0" distL="0" distR="0" wp14:anchorId="52C5F000" wp14:editId="3541CCC8">
            <wp:extent cx="2657475" cy="533400"/>
            <wp:effectExtent l="0" t="0" r="9525" b="0"/>
            <wp:docPr id="13547423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57F08A49">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57F08A49">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696047999"/>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6162F02B" w:rsidR="007064C1" w:rsidRPr="003A5F9A" w:rsidRDefault="00AE7CBB">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AE7CBB">
                  <w:rPr>
                    <w:rStyle w:val="PlaceholderText"/>
                    <w:color w:val="auto"/>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3A3A0352" w14:textId="77777777" w:rsidR="00163714" w:rsidRPr="00E425C3" w:rsidRDefault="00297B7E" w:rsidP="00163714">
      <w:pPr>
        <w:pStyle w:val="Heading1"/>
        <w:numPr>
          <w:ilvl w:val="0"/>
          <w:numId w:val="0"/>
        </w:numPr>
        <w:ind w:left="360" w:hanging="360"/>
        <w:rPr>
          <w:sz w:val="24"/>
          <w:szCs w:val="24"/>
        </w:rPr>
      </w:pPr>
      <w:bookmarkStart w:id="3" w:name="_DISCLAIMERS"/>
      <w:bookmarkEnd w:id="3"/>
      <w:r>
        <w:br w:type="column"/>
      </w:r>
      <w:r w:rsidR="00163714" w:rsidRPr="00E425C3">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163714" w:rsidRPr="007319DA" w14:paraId="3E93BCBA" w14:textId="77777777" w:rsidTr="00BC5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E9E43EB" w14:textId="77777777" w:rsidR="00163714" w:rsidRPr="00891F8F" w:rsidRDefault="00163714" w:rsidP="00BC5FCA">
            <w:pPr>
              <w:pStyle w:val="Text2"/>
              <w:spacing w:before="60" w:after="120" w:line="276" w:lineRule="auto"/>
              <w:ind w:left="0"/>
              <w:rPr>
                <w:rFonts w:cs="Arial"/>
                <w:b w:val="0"/>
                <w:bCs w:val="0"/>
                <w:color w:val="auto"/>
                <w:szCs w:val="18"/>
                <w:lang w:eastAsia="en-US"/>
              </w:rPr>
            </w:pPr>
            <w:r w:rsidRPr="00891F8F">
              <w:rPr>
                <w:rFonts w:cs="Arial"/>
                <w:b w:val="0"/>
                <w:bCs w:val="0"/>
                <w:color w:val="auto"/>
                <w:szCs w:val="18"/>
                <w:lang w:eastAsia="en-US"/>
              </w:rPr>
              <w:t>DISCLAIMERS:</w:t>
            </w:r>
          </w:p>
          <w:p w14:paraId="78A0741F" w14:textId="77777777" w:rsidR="00163714" w:rsidRPr="00891F8F" w:rsidRDefault="00163714" w:rsidP="00BC5FCA">
            <w:pPr>
              <w:pStyle w:val="Text1"/>
              <w:ind w:left="0"/>
              <w:rPr>
                <w:b w:val="0"/>
                <w:bCs w:val="0"/>
                <w:color w:val="auto"/>
                <w:sz w:val="18"/>
                <w:szCs w:val="18"/>
              </w:rPr>
            </w:pPr>
            <w:r w:rsidRPr="00891F8F">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891F8F">
              <w:rPr>
                <w:rFonts w:cs="Arial"/>
                <w:color w:val="auto"/>
                <w:sz w:val="18"/>
                <w:szCs w:val="18"/>
              </w:rPr>
              <w:t>In no circumstances, shall the European Commission finance the same costs twice.</w:t>
            </w:r>
          </w:p>
        </w:tc>
      </w:tr>
      <w:tr w:rsidR="00163714" w:rsidRPr="007319DA" w14:paraId="7BA424C3"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4BC01F6" w14:textId="77777777" w:rsidR="00163714" w:rsidRPr="00891F8F" w:rsidRDefault="00163714" w:rsidP="00BC5FCA">
            <w:pPr>
              <w:pStyle w:val="Text1"/>
              <w:ind w:left="0"/>
              <w:rPr>
                <w:b w:val="0"/>
                <w:bCs w:val="0"/>
                <w:color w:val="auto"/>
                <w:sz w:val="18"/>
                <w:szCs w:val="18"/>
              </w:rPr>
            </w:pPr>
            <w:r w:rsidRPr="00891F8F">
              <w:rPr>
                <w:b w:val="0"/>
                <w:bCs w:val="0"/>
                <w:color w:val="auto"/>
                <w:sz w:val="18"/>
                <w:szCs w:val="18"/>
              </w:rPr>
              <w:t xml:space="preserve">By submitting this request, the Member State accepts that, should the request for support be selected for funding under the TSI, </w:t>
            </w:r>
            <w:r w:rsidRPr="00891F8F">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163714" w:rsidRPr="007319DA" w14:paraId="5BE7F566"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63234A58" w14:textId="77777777" w:rsidR="00163714" w:rsidRPr="00891F8F" w:rsidRDefault="00163714" w:rsidP="00BC5FCA">
            <w:pPr>
              <w:pStyle w:val="Text1"/>
              <w:ind w:left="0"/>
              <w:rPr>
                <w:b w:val="0"/>
                <w:bCs w:val="0"/>
                <w:color w:val="auto"/>
                <w:sz w:val="18"/>
                <w:szCs w:val="18"/>
              </w:rPr>
            </w:pPr>
            <w:r w:rsidRPr="00891F8F">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891F8F">
              <w:rPr>
                <w:color w:val="auto"/>
                <w:sz w:val="18"/>
                <w:szCs w:val="18"/>
              </w:rPr>
              <w:t>make available final studies or reports produced as part of eligible actions set out in the TSI Regulation</w:t>
            </w:r>
            <w:r w:rsidRPr="00891F8F">
              <w:rPr>
                <w:b w:val="0"/>
                <w:bCs w:val="0"/>
                <w:color w:val="auto"/>
                <w:sz w:val="18"/>
                <w:szCs w:val="18"/>
              </w:rPr>
              <w:t>. Where justified, the Member States concerned may request that the Commission does not disclose such documents without their prior agreement.</w:t>
            </w:r>
          </w:p>
        </w:tc>
      </w:tr>
      <w:tr w:rsidR="00163714" w:rsidRPr="007319DA" w14:paraId="07B3A8AD"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CBE2551" w14:textId="77777777" w:rsidR="00163714" w:rsidRPr="00891F8F" w:rsidRDefault="00163714" w:rsidP="00BC5FCA">
            <w:pPr>
              <w:pStyle w:val="Text1"/>
              <w:ind w:left="0"/>
              <w:rPr>
                <w:b w:val="0"/>
                <w:bCs w:val="0"/>
                <w:color w:val="auto"/>
                <w:sz w:val="18"/>
                <w:szCs w:val="18"/>
              </w:rPr>
            </w:pPr>
            <w:r w:rsidRPr="00891F8F">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55AA7768" w14:textId="77777777" w:rsidR="00163714" w:rsidRPr="00891F8F" w:rsidRDefault="00163714" w:rsidP="00BC5FCA">
            <w:pPr>
              <w:pStyle w:val="Text1"/>
              <w:ind w:left="0"/>
              <w:rPr>
                <w:b w:val="0"/>
                <w:bCs w:val="0"/>
                <w:color w:val="auto"/>
                <w:sz w:val="18"/>
                <w:szCs w:val="18"/>
              </w:rPr>
            </w:pPr>
            <w:r w:rsidRPr="00891F8F">
              <w:rPr>
                <w:color w:val="auto"/>
                <w:sz w:val="18"/>
                <w:szCs w:val="18"/>
              </w:rPr>
              <w:t>The Member States shall counter fraud and any other illegal activities affecting the financial interests of the Union</w:t>
            </w:r>
            <w:r w:rsidRPr="00891F8F">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163714" w:rsidRPr="007319DA" w14:paraId="3B57258F"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125AAACD" w14:textId="77777777" w:rsidR="00163714" w:rsidRPr="00891F8F" w:rsidRDefault="00163714" w:rsidP="00BC5FCA">
            <w:pPr>
              <w:pStyle w:val="Text1"/>
              <w:ind w:left="0"/>
              <w:rPr>
                <w:b w:val="0"/>
                <w:bCs w:val="0"/>
                <w:color w:val="auto"/>
                <w:sz w:val="18"/>
                <w:szCs w:val="18"/>
              </w:rPr>
            </w:pPr>
            <w:r w:rsidRPr="00891F8F">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163714" w:rsidRPr="007319DA" w14:paraId="12B2B3EA" w14:textId="77777777" w:rsidTr="00BC5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1948A370" w14:textId="77777777" w:rsidR="00163714" w:rsidRPr="00891F8F" w:rsidRDefault="00163714" w:rsidP="00BC5FCA">
            <w:pPr>
              <w:pStyle w:val="Text1"/>
              <w:ind w:left="0"/>
              <w:rPr>
                <w:b w:val="0"/>
                <w:bCs w:val="0"/>
                <w:color w:val="auto"/>
                <w:sz w:val="18"/>
                <w:szCs w:val="18"/>
              </w:rPr>
            </w:pPr>
            <w:r w:rsidRPr="00891F8F">
              <w:rPr>
                <w:color w:val="auto"/>
                <w:sz w:val="18"/>
                <w:szCs w:val="18"/>
              </w:rPr>
              <w:t>For the requests linked with the RRPs:</w:t>
            </w:r>
            <w:r w:rsidRPr="00891F8F">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163714" w:rsidRPr="007319DA" w14:paraId="3F7F5DC2" w14:textId="77777777" w:rsidTr="00BC5FCA">
        <w:tc>
          <w:tcPr>
            <w:cnfStyle w:val="001000000000" w:firstRow="0" w:lastRow="0" w:firstColumn="1" w:lastColumn="0" w:oddVBand="0" w:evenVBand="0" w:oddHBand="0" w:evenHBand="0" w:firstRowFirstColumn="0" w:firstRowLastColumn="0" w:lastRowFirstColumn="0" w:lastRowLastColumn="0"/>
            <w:tcW w:w="10456" w:type="dxa"/>
          </w:tcPr>
          <w:p w14:paraId="6CACE2A2" w14:textId="77777777" w:rsidR="00163714" w:rsidRPr="00891F8F" w:rsidRDefault="00163714" w:rsidP="00BC5FCA">
            <w:pPr>
              <w:pStyle w:val="Text1"/>
              <w:ind w:left="0"/>
              <w:rPr>
                <w:b w:val="0"/>
                <w:bCs w:val="0"/>
                <w:color w:val="auto"/>
                <w:sz w:val="18"/>
                <w:szCs w:val="18"/>
              </w:rPr>
            </w:pPr>
            <w:r w:rsidRPr="00891F8F">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AA5B" w14:textId="77777777" w:rsidR="00512447" w:rsidRDefault="00512447">
      <w:pPr>
        <w:spacing w:after="0"/>
      </w:pPr>
      <w:r>
        <w:separator/>
      </w:r>
    </w:p>
  </w:endnote>
  <w:endnote w:type="continuationSeparator" w:id="0">
    <w:p w14:paraId="1D6B17B5" w14:textId="77777777" w:rsidR="00512447" w:rsidRDefault="00512447">
      <w:pPr>
        <w:spacing w:after="0"/>
      </w:pPr>
      <w:r>
        <w:continuationSeparator/>
      </w:r>
    </w:p>
  </w:endnote>
  <w:endnote w:type="continuationNotice" w:id="1">
    <w:p w14:paraId="377316A1" w14:textId="77777777" w:rsidR="00512447" w:rsidRDefault="00512447">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DE5E" w14:textId="77777777" w:rsidR="00512447" w:rsidRDefault="00512447">
      <w:pPr>
        <w:spacing w:after="0"/>
      </w:pPr>
      <w:r>
        <w:separator/>
      </w:r>
    </w:p>
  </w:footnote>
  <w:footnote w:type="continuationSeparator" w:id="0">
    <w:p w14:paraId="360DDEDC" w14:textId="77777777" w:rsidR="00512447" w:rsidRDefault="00512447">
      <w:pPr>
        <w:spacing w:after="0"/>
      </w:pPr>
      <w:r>
        <w:continuationSeparator/>
      </w:r>
    </w:p>
  </w:footnote>
  <w:footnote w:type="continuationNotice" w:id="1">
    <w:p w14:paraId="14F5042A" w14:textId="77777777" w:rsidR="00512447" w:rsidRDefault="00512447">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6913CA"/>
    <w:multiLevelType w:val="hybridMultilevel"/>
    <w:tmpl w:val="9E42D6FE"/>
    <w:lvl w:ilvl="0" w:tplc="340E6D40">
      <w:start w:val="2"/>
      <w:numFmt w:val="bullet"/>
      <w:lvlText w:val="-"/>
      <w:lvlJc w:val="left"/>
      <w:pPr>
        <w:ind w:left="720" w:hanging="360"/>
      </w:pPr>
      <w:rPr>
        <w:rFonts w:ascii="MS Gothic" w:eastAsia="MS Gothic" w:hAnsi="MS Gothic" w:cs="Segoe UI Symbol" w:hint="eastAsia"/>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4"/>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5"/>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8"/>
  </w:num>
  <w:num w:numId="22" w16cid:durableId="1051925000">
    <w:abstractNumId w:val="30"/>
  </w:num>
  <w:num w:numId="23" w16cid:durableId="719210693">
    <w:abstractNumId w:val="23"/>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6"/>
  </w:num>
  <w:num w:numId="26" w16cid:durableId="2057852891">
    <w:abstractNumId w:val="31"/>
  </w:num>
  <w:num w:numId="27" w16cid:durableId="1188249712">
    <w:abstractNumId w:val="33"/>
  </w:num>
  <w:num w:numId="28" w16cid:durableId="5970605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7"/>
  </w:num>
  <w:num w:numId="30" w16cid:durableId="1122188373">
    <w:abstractNumId w:val="24"/>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9"/>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 w:numId="41" w16cid:durableId="56152948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6F19"/>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26C8"/>
    <w:rsid w:val="0005343E"/>
    <w:rsid w:val="0005367D"/>
    <w:rsid w:val="00053C56"/>
    <w:rsid w:val="000550CF"/>
    <w:rsid w:val="000554FF"/>
    <w:rsid w:val="0005551B"/>
    <w:rsid w:val="000557C0"/>
    <w:rsid w:val="00056104"/>
    <w:rsid w:val="000566B0"/>
    <w:rsid w:val="000604A9"/>
    <w:rsid w:val="000615BA"/>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63E4"/>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6C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3714"/>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3B7"/>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58A4"/>
    <w:rsid w:val="002163DD"/>
    <w:rsid w:val="00216E31"/>
    <w:rsid w:val="002177AB"/>
    <w:rsid w:val="00217B0F"/>
    <w:rsid w:val="0022126F"/>
    <w:rsid w:val="0022330D"/>
    <w:rsid w:val="0022497B"/>
    <w:rsid w:val="00225805"/>
    <w:rsid w:val="00225A08"/>
    <w:rsid w:val="00227FFD"/>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786A"/>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1FF0"/>
    <w:rsid w:val="0050231F"/>
    <w:rsid w:val="00503FA3"/>
    <w:rsid w:val="00503FCD"/>
    <w:rsid w:val="00504380"/>
    <w:rsid w:val="00504B84"/>
    <w:rsid w:val="00507494"/>
    <w:rsid w:val="005101A6"/>
    <w:rsid w:val="0051050B"/>
    <w:rsid w:val="00511C1D"/>
    <w:rsid w:val="00512447"/>
    <w:rsid w:val="00513BBF"/>
    <w:rsid w:val="005142D1"/>
    <w:rsid w:val="00514A6D"/>
    <w:rsid w:val="00514E7E"/>
    <w:rsid w:val="00514F15"/>
    <w:rsid w:val="005164FC"/>
    <w:rsid w:val="00516910"/>
    <w:rsid w:val="00517D3E"/>
    <w:rsid w:val="0052056E"/>
    <w:rsid w:val="005217A8"/>
    <w:rsid w:val="005237E3"/>
    <w:rsid w:val="00523FC5"/>
    <w:rsid w:val="00524337"/>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4ED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1272"/>
    <w:rsid w:val="006A213F"/>
    <w:rsid w:val="006A2FB4"/>
    <w:rsid w:val="006A3632"/>
    <w:rsid w:val="006A38DE"/>
    <w:rsid w:val="006A4143"/>
    <w:rsid w:val="006A4390"/>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09"/>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3F61"/>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1F8F"/>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14"/>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8AE"/>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3923"/>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E7CBB"/>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33BF"/>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DB0"/>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B36"/>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2CD4"/>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536A"/>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4C"/>
    <w:rsid w:val="00D633B2"/>
    <w:rsid w:val="00D6348E"/>
    <w:rsid w:val="00D6396B"/>
    <w:rsid w:val="00D63B43"/>
    <w:rsid w:val="00D63E50"/>
    <w:rsid w:val="00D67C28"/>
    <w:rsid w:val="00D67C43"/>
    <w:rsid w:val="00D70152"/>
    <w:rsid w:val="00D7094D"/>
    <w:rsid w:val="00D70C08"/>
    <w:rsid w:val="00D71031"/>
    <w:rsid w:val="00D71096"/>
    <w:rsid w:val="00D716CC"/>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B5C"/>
    <w:rsid w:val="00D92F21"/>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4B1"/>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282"/>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6C5D"/>
    <w:rsid w:val="00E879C6"/>
    <w:rsid w:val="00E913F5"/>
    <w:rsid w:val="00E9254E"/>
    <w:rsid w:val="00E928E0"/>
    <w:rsid w:val="00E9364E"/>
    <w:rsid w:val="00E95461"/>
    <w:rsid w:val="00E95F28"/>
    <w:rsid w:val="00E962B0"/>
    <w:rsid w:val="00E970D1"/>
    <w:rsid w:val="00E978EC"/>
    <w:rsid w:val="00EA0FDF"/>
    <w:rsid w:val="00EA1D0C"/>
    <w:rsid w:val="00EA399C"/>
    <w:rsid w:val="00EA4AC3"/>
    <w:rsid w:val="00EA4CC8"/>
    <w:rsid w:val="00EA4EE2"/>
    <w:rsid w:val="00EA54E4"/>
    <w:rsid w:val="00EA5A8B"/>
    <w:rsid w:val="00EA5B27"/>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0B2"/>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19A2"/>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269B8B"/>
    <w:rsid w:val="028A687F"/>
    <w:rsid w:val="02D69826"/>
    <w:rsid w:val="02DC197D"/>
    <w:rsid w:val="032BA8EB"/>
    <w:rsid w:val="035FC1D8"/>
    <w:rsid w:val="039AD826"/>
    <w:rsid w:val="04438048"/>
    <w:rsid w:val="04E435D1"/>
    <w:rsid w:val="05088AA3"/>
    <w:rsid w:val="05116BB6"/>
    <w:rsid w:val="05D8446D"/>
    <w:rsid w:val="05E54933"/>
    <w:rsid w:val="0650D53B"/>
    <w:rsid w:val="0677CDD8"/>
    <w:rsid w:val="07B1F359"/>
    <w:rsid w:val="07FDCAF2"/>
    <w:rsid w:val="082171FE"/>
    <w:rsid w:val="090BDBA2"/>
    <w:rsid w:val="091FA42C"/>
    <w:rsid w:val="09FCEAE9"/>
    <w:rsid w:val="0A3D9F09"/>
    <w:rsid w:val="0A3DA6B4"/>
    <w:rsid w:val="0AD01BED"/>
    <w:rsid w:val="0AE7D8AE"/>
    <w:rsid w:val="0BE53214"/>
    <w:rsid w:val="0BF5F956"/>
    <w:rsid w:val="0CC5A659"/>
    <w:rsid w:val="0DD3126D"/>
    <w:rsid w:val="0E0207A5"/>
    <w:rsid w:val="0EAEE534"/>
    <w:rsid w:val="0EE40FEE"/>
    <w:rsid w:val="0F56ECB6"/>
    <w:rsid w:val="0FD74224"/>
    <w:rsid w:val="1059439D"/>
    <w:rsid w:val="10D1234F"/>
    <w:rsid w:val="10E1E3D6"/>
    <w:rsid w:val="11237348"/>
    <w:rsid w:val="11CBF21E"/>
    <w:rsid w:val="1315F89E"/>
    <w:rsid w:val="13B07EB5"/>
    <w:rsid w:val="13CEC47E"/>
    <w:rsid w:val="13ED83F3"/>
    <w:rsid w:val="153A101D"/>
    <w:rsid w:val="15470380"/>
    <w:rsid w:val="156FE14C"/>
    <w:rsid w:val="15A3BF35"/>
    <w:rsid w:val="15D53FDA"/>
    <w:rsid w:val="160DA3E5"/>
    <w:rsid w:val="16607465"/>
    <w:rsid w:val="176BFD04"/>
    <w:rsid w:val="18446D7B"/>
    <w:rsid w:val="18D8C165"/>
    <w:rsid w:val="19073DA3"/>
    <w:rsid w:val="196E92F4"/>
    <w:rsid w:val="19BE28AB"/>
    <w:rsid w:val="1A0697DC"/>
    <w:rsid w:val="1A1E4D0F"/>
    <w:rsid w:val="1A435EAE"/>
    <w:rsid w:val="1A8BA8CF"/>
    <w:rsid w:val="1BA2683D"/>
    <w:rsid w:val="1D04B435"/>
    <w:rsid w:val="1DAC90BE"/>
    <w:rsid w:val="1DBD325B"/>
    <w:rsid w:val="1E49A2E6"/>
    <w:rsid w:val="1EA17BC6"/>
    <w:rsid w:val="1EDFFEDE"/>
    <w:rsid w:val="1F6BDE7F"/>
    <w:rsid w:val="1FEA0BB1"/>
    <w:rsid w:val="1FF353C3"/>
    <w:rsid w:val="1FF65BF5"/>
    <w:rsid w:val="200A7043"/>
    <w:rsid w:val="20DBF9FE"/>
    <w:rsid w:val="21BCDBB8"/>
    <w:rsid w:val="236C36FB"/>
    <w:rsid w:val="23823AA1"/>
    <w:rsid w:val="240A614A"/>
    <w:rsid w:val="267106A7"/>
    <w:rsid w:val="272D0EDC"/>
    <w:rsid w:val="27E2A06A"/>
    <w:rsid w:val="27FA7854"/>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5ECB7F6"/>
    <w:rsid w:val="361BCA00"/>
    <w:rsid w:val="362FFABA"/>
    <w:rsid w:val="3903A1C2"/>
    <w:rsid w:val="3A179494"/>
    <w:rsid w:val="3A22D261"/>
    <w:rsid w:val="3A3F459F"/>
    <w:rsid w:val="3A4F4C83"/>
    <w:rsid w:val="3A68FB51"/>
    <w:rsid w:val="3B9F4F86"/>
    <w:rsid w:val="3C4A18D4"/>
    <w:rsid w:val="3C4F4A7A"/>
    <w:rsid w:val="3D33662D"/>
    <w:rsid w:val="3D63A5D0"/>
    <w:rsid w:val="3DD9CAB8"/>
    <w:rsid w:val="3E4827DD"/>
    <w:rsid w:val="3E61248A"/>
    <w:rsid w:val="40002CB0"/>
    <w:rsid w:val="401E554B"/>
    <w:rsid w:val="40424960"/>
    <w:rsid w:val="406B06EF"/>
    <w:rsid w:val="408AF1D0"/>
    <w:rsid w:val="4206D750"/>
    <w:rsid w:val="432E1B0A"/>
    <w:rsid w:val="43353B82"/>
    <w:rsid w:val="43F71343"/>
    <w:rsid w:val="440D566B"/>
    <w:rsid w:val="44F30854"/>
    <w:rsid w:val="4587A8C9"/>
    <w:rsid w:val="458A1671"/>
    <w:rsid w:val="46581A33"/>
    <w:rsid w:val="48094408"/>
    <w:rsid w:val="4812E5D8"/>
    <w:rsid w:val="48190B82"/>
    <w:rsid w:val="488D1CAB"/>
    <w:rsid w:val="491B68A4"/>
    <w:rsid w:val="494BF6EB"/>
    <w:rsid w:val="498359CC"/>
    <w:rsid w:val="4A75E482"/>
    <w:rsid w:val="4B762E1D"/>
    <w:rsid w:val="4BECF6FD"/>
    <w:rsid w:val="4DE20E02"/>
    <w:rsid w:val="4E2722FA"/>
    <w:rsid w:val="4E2A1B33"/>
    <w:rsid w:val="4E86F60D"/>
    <w:rsid w:val="4FAAA992"/>
    <w:rsid w:val="4FB0B2DC"/>
    <w:rsid w:val="5035B857"/>
    <w:rsid w:val="527965D5"/>
    <w:rsid w:val="530A2EE4"/>
    <w:rsid w:val="53CDB78F"/>
    <w:rsid w:val="53E61AFF"/>
    <w:rsid w:val="53E9022C"/>
    <w:rsid w:val="542396E9"/>
    <w:rsid w:val="54DFBDF2"/>
    <w:rsid w:val="56011A42"/>
    <w:rsid w:val="5611D1B3"/>
    <w:rsid w:val="57AC487C"/>
    <w:rsid w:val="57F08A49"/>
    <w:rsid w:val="581D1944"/>
    <w:rsid w:val="58DFC883"/>
    <w:rsid w:val="5926134A"/>
    <w:rsid w:val="5A1E8BE2"/>
    <w:rsid w:val="5A4054E8"/>
    <w:rsid w:val="5A7062BA"/>
    <w:rsid w:val="5AAF3ACA"/>
    <w:rsid w:val="5B18A9FE"/>
    <w:rsid w:val="5B34A231"/>
    <w:rsid w:val="5C13DD70"/>
    <w:rsid w:val="5D6BFFEB"/>
    <w:rsid w:val="5E6EF5E1"/>
    <w:rsid w:val="5F6F7BAD"/>
    <w:rsid w:val="5FBCF05B"/>
    <w:rsid w:val="613D6AD0"/>
    <w:rsid w:val="628AE299"/>
    <w:rsid w:val="628BC003"/>
    <w:rsid w:val="6395F2E0"/>
    <w:rsid w:val="63D70EA1"/>
    <w:rsid w:val="65A252CA"/>
    <w:rsid w:val="665058C5"/>
    <w:rsid w:val="66644DF3"/>
    <w:rsid w:val="672E7152"/>
    <w:rsid w:val="67C80240"/>
    <w:rsid w:val="67EA5005"/>
    <w:rsid w:val="683E8086"/>
    <w:rsid w:val="68D4F0A1"/>
    <w:rsid w:val="68FD4E26"/>
    <w:rsid w:val="6A688437"/>
    <w:rsid w:val="6B469813"/>
    <w:rsid w:val="6B868658"/>
    <w:rsid w:val="6C490F94"/>
    <w:rsid w:val="6C6FD7A2"/>
    <w:rsid w:val="6D204FB0"/>
    <w:rsid w:val="6E22AF7E"/>
    <w:rsid w:val="6F1B6460"/>
    <w:rsid w:val="6F51F9C1"/>
    <w:rsid w:val="6FA13285"/>
    <w:rsid w:val="71820C99"/>
    <w:rsid w:val="72D7226A"/>
    <w:rsid w:val="7315FFEE"/>
    <w:rsid w:val="749D4B51"/>
    <w:rsid w:val="74D6F96F"/>
    <w:rsid w:val="7700749E"/>
    <w:rsid w:val="7700ACCF"/>
    <w:rsid w:val="7742A1BE"/>
    <w:rsid w:val="7756037D"/>
    <w:rsid w:val="779630FA"/>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9653">
      <w:bodyDiv w:val="1"/>
      <w:marLeft w:val="0"/>
      <w:marRight w:val="0"/>
      <w:marTop w:val="0"/>
      <w:marBottom w:val="0"/>
      <w:divBdr>
        <w:top w:val="none" w:sz="0" w:space="0" w:color="auto"/>
        <w:left w:val="none" w:sz="0" w:space="0" w:color="auto"/>
        <w:bottom w:val="none" w:sz="0" w:space="0" w:color="auto"/>
        <w:right w:val="none" w:sz="0" w:space="0" w:color="auto"/>
      </w:divBdr>
    </w:div>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444054" w:rsidP="00444054">
          <w:pPr>
            <w:pStyle w:val="5126DE58D2CA41198B8E7922EE40EBD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444054" w:rsidP="00444054">
          <w:pPr>
            <w:pStyle w:val="F86155AE336E402D9206B5436EEB5B09"/>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444054" w:rsidP="00444054">
          <w:pPr>
            <w:pStyle w:val="642E63295EF1470B8155B1EC0CD4D448"/>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444054" w:rsidP="00444054">
          <w:pPr>
            <w:pStyle w:val="5F01AB8A9A8B4645BF08C0EB32B6424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444054" w:rsidP="00444054">
          <w:pPr>
            <w:pStyle w:val="D0078C90EF274638B9644B5A004D09F9"/>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444054" w:rsidP="00444054">
          <w:pPr>
            <w:pStyle w:val="A95249501CF744A4BCC1C74414605B6A"/>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444054" w:rsidP="00444054">
          <w:pPr>
            <w:pStyle w:val="6AA64DB388B74AD491C2D0A32E7ECC74"/>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444054" w:rsidP="00444054">
          <w:pPr>
            <w:pStyle w:val="6CD8CF14ACAA4740AFC48170A97BA58B"/>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444054" w:rsidP="00444054">
          <w:pPr>
            <w:pStyle w:val="59EC1ACC3C444F97A87C50574AE68EB2"/>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444054" w:rsidP="00444054">
          <w:pPr>
            <w:pStyle w:val="C8E01A9A69324C70B9263A7B550ED9F5"/>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444054" w:rsidP="00444054">
          <w:pPr>
            <w:pStyle w:val="0E60B31A71FA454A84C703C2974F8636"/>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444054" w:rsidP="00444054">
          <w:pPr>
            <w:pStyle w:val="14DB4647083145698D0C6CC91D083015"/>
          </w:pPr>
          <w:r w:rsidRPr="000526C8">
            <w:rPr>
              <w:rStyle w:val="Strong"/>
            </w:rPr>
            <w:t>ComPAct Pillar III: Greening Public Administration</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161328D-2EC4-416B-8CC0-452A5723B417}"/>
      </w:docPartPr>
      <w:docPartBody>
        <w:p w:rsidR="003A24B8" w:rsidRDefault="003A24B8">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200EEF"/>
    <w:rsid w:val="00396A63"/>
    <w:rsid w:val="003A24B8"/>
    <w:rsid w:val="003A28D3"/>
    <w:rsid w:val="0040527C"/>
    <w:rsid w:val="00444054"/>
    <w:rsid w:val="005F4F98"/>
    <w:rsid w:val="006870DF"/>
    <w:rsid w:val="006C5EA6"/>
    <w:rsid w:val="006E4A5B"/>
    <w:rsid w:val="006F6ADB"/>
    <w:rsid w:val="0073552D"/>
    <w:rsid w:val="0074022B"/>
    <w:rsid w:val="007D1315"/>
    <w:rsid w:val="0085686B"/>
    <w:rsid w:val="0087372D"/>
    <w:rsid w:val="009161C1"/>
    <w:rsid w:val="009748CB"/>
    <w:rsid w:val="009824C2"/>
    <w:rsid w:val="009A65BB"/>
    <w:rsid w:val="009C315E"/>
    <w:rsid w:val="00A0623D"/>
    <w:rsid w:val="00A247AC"/>
    <w:rsid w:val="00AC39A4"/>
    <w:rsid w:val="00B06979"/>
    <w:rsid w:val="00BE0936"/>
    <w:rsid w:val="00C77C04"/>
    <w:rsid w:val="00CB78B3"/>
    <w:rsid w:val="00CD11E5"/>
    <w:rsid w:val="00D14FD5"/>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4B8"/>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444054"/>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
    <w:name w:val="14DB4647083145698D0C6CC91D083015"/>
    <w:rsid w:val="00444054"/>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
    <w:name w:val="5126DE58D2CA41198B8E7922EE40EBD3"/>
    <w:rsid w:val="00444054"/>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
    <w:name w:val="6AA64DB388B74AD491C2D0A32E7ECC74"/>
    <w:rsid w:val="0044405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
    <w:name w:val="0E60B31A71FA454A84C703C2974F8636"/>
    <w:rsid w:val="0044405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
    <w:name w:val="642E63295EF1470B8155B1EC0CD4D448"/>
    <w:rsid w:val="0044405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
    <w:name w:val="F86155AE336E402D9206B5436EEB5B09"/>
    <w:rsid w:val="0044405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
    <w:name w:val="6CD8CF14ACAA4740AFC48170A97BA58B"/>
    <w:rsid w:val="0044405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
    <w:name w:val="59EC1ACC3C444F97A87C50574AE68EB2"/>
    <w:rsid w:val="0044405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
    <w:name w:val="5F01AB8A9A8B4645BF08C0EB32B64243"/>
    <w:rsid w:val="0044405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
    <w:name w:val="D0078C90EF274638B9644B5A004D09F9"/>
    <w:rsid w:val="0044405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
    <w:name w:val="C8E01A9A69324C70B9263A7B550ED9F5"/>
    <w:rsid w:val="0044405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
    <w:name w:val="A95249501CF744A4BCC1C74414605B6A"/>
    <w:rsid w:val="00444054"/>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A4F611-8EAF-45CE-87C2-521EFCB75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5.xml><?xml version="1.0" encoding="utf-8"?>
<ds:datastoreItem xmlns:ds="http://schemas.openxmlformats.org/officeDocument/2006/customXml" ds:itemID="{EE044946-5330-43F7-8D16-AA78684F2938}">
  <ds:schemaRefs/>
</ds:datastoreItem>
</file>

<file path=customXml/itemProps6.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7.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docProps/app.xml><?xml version="1.0" encoding="utf-8"?>
<Properties xmlns="http://schemas.openxmlformats.org/officeDocument/2006/extended-properties" xmlns:vt="http://schemas.openxmlformats.org/officeDocument/2006/docPropsVTypes">
  <Template>Eurolook.dotm</Template>
  <TotalTime>14</TotalTime>
  <Pages>13</Pages>
  <Words>3717</Words>
  <Characters>21187</Characters>
  <Application>Microsoft Office Word</Application>
  <DocSecurity>0</DocSecurity>
  <PresentationFormat>Microsoft Word 14.0</PresentationFormat>
  <Lines>176</Lines>
  <Paragraphs>49</Paragraphs>
  <ScaleCrop>true</ScaleCrop>
  <Company>European Commission</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32</cp:revision>
  <cp:lastPrinted>2019-04-15T08:24:00Z</cp:lastPrinted>
  <dcterms:created xsi:type="dcterms:W3CDTF">2024-04-30T06:43:00Z</dcterms:created>
  <dcterms:modified xsi:type="dcterms:W3CDTF">2024-06-17T13:05:00Z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