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E153" w14:textId="77777777" w:rsidR="00C25695" w:rsidRDefault="00C25695" w:rsidP="00C25695">
      <w:pPr>
        <w:spacing w:after="0"/>
        <w:jc w:val="center"/>
        <w:rPr>
          <w:b/>
          <w:bCs/>
          <w:color w:val="4472C4" w:themeColor="accent1"/>
          <w:sz w:val="28"/>
          <w:szCs w:val="28"/>
          <w:lang w:val="en-GB"/>
        </w:rPr>
      </w:pPr>
      <w:r>
        <w:rPr>
          <w:b/>
          <w:bCs/>
          <w:color w:val="4472C4" w:themeColor="accent1"/>
          <w:sz w:val="28"/>
          <w:szCs w:val="28"/>
          <w:lang w:val="en-GB"/>
        </w:rPr>
        <w:t xml:space="preserve">OECD - DG-Reform TSI </w:t>
      </w:r>
      <w:r w:rsidRPr="00B05026">
        <w:rPr>
          <w:b/>
          <w:bCs/>
          <w:color w:val="4472C4" w:themeColor="accent1"/>
          <w:sz w:val="28"/>
          <w:szCs w:val="28"/>
          <w:lang w:val="en-GB"/>
        </w:rPr>
        <w:t>10 EU Regions Project</w:t>
      </w:r>
    </w:p>
    <w:p w14:paraId="0681E9D1" w14:textId="68F41F91" w:rsidR="00810313" w:rsidRDefault="00C25695" w:rsidP="00C25695">
      <w:pPr>
        <w:jc w:val="center"/>
        <w:rPr>
          <w:b/>
          <w:bCs/>
          <w:color w:val="4472C4" w:themeColor="accent1"/>
          <w:sz w:val="28"/>
          <w:szCs w:val="28"/>
          <w:lang w:val="en-GB"/>
        </w:rPr>
      </w:pPr>
      <w:r>
        <w:rPr>
          <w:b/>
          <w:bCs/>
          <w:color w:val="4472C4" w:themeColor="accent1"/>
          <w:sz w:val="28"/>
          <w:szCs w:val="28"/>
          <w:lang w:val="en-GB"/>
        </w:rPr>
        <w:t>Takeaways of the OECD m</w:t>
      </w:r>
      <w:r w:rsidRPr="00B05026">
        <w:rPr>
          <w:b/>
          <w:bCs/>
          <w:color w:val="4472C4" w:themeColor="accent1"/>
          <w:sz w:val="28"/>
          <w:szCs w:val="28"/>
          <w:lang w:val="en-GB"/>
        </w:rPr>
        <w:t xml:space="preserve">ission </w:t>
      </w:r>
      <w:r>
        <w:rPr>
          <w:b/>
          <w:bCs/>
          <w:color w:val="4472C4" w:themeColor="accent1"/>
          <w:sz w:val="28"/>
          <w:szCs w:val="28"/>
          <w:lang w:val="en-GB"/>
        </w:rPr>
        <w:t xml:space="preserve">to </w:t>
      </w:r>
      <w:r w:rsidR="00B05026" w:rsidRPr="00B05026">
        <w:rPr>
          <w:b/>
          <w:bCs/>
          <w:color w:val="4472C4" w:themeColor="accent1"/>
          <w:sz w:val="28"/>
          <w:szCs w:val="28"/>
          <w:lang w:val="en-GB"/>
        </w:rPr>
        <w:t>Central Greece</w:t>
      </w:r>
    </w:p>
    <w:p w14:paraId="51983C75" w14:textId="77777777" w:rsidR="00C25695" w:rsidRPr="00484381" w:rsidRDefault="00C25695" w:rsidP="00C25695">
      <w:pPr>
        <w:spacing w:after="0" w:line="240" w:lineRule="auto"/>
        <w:rPr>
          <w:b/>
          <w:bCs/>
          <w:color w:val="ED7D31" w:themeColor="accent2"/>
          <w:sz w:val="24"/>
          <w:szCs w:val="24"/>
          <w:lang w:val="en-GB"/>
        </w:rPr>
      </w:pPr>
      <w:r w:rsidRPr="00484381">
        <w:rPr>
          <w:b/>
          <w:bCs/>
          <w:color w:val="ED7D31" w:themeColor="accent2"/>
          <w:sz w:val="24"/>
          <w:szCs w:val="24"/>
          <w:lang w:val="en-GB"/>
        </w:rPr>
        <w:t xml:space="preserve">Introduction </w:t>
      </w:r>
    </w:p>
    <w:p w14:paraId="39664655" w14:textId="56B1B3DA" w:rsidR="00C25695" w:rsidRDefault="00C25695" w:rsidP="0093067A">
      <w:pPr>
        <w:spacing w:after="0" w:line="240" w:lineRule="auto"/>
        <w:jc w:val="both"/>
        <w:rPr>
          <w:color w:val="000000" w:themeColor="text1"/>
          <w:lang w:val="en-GB"/>
        </w:rPr>
      </w:pPr>
      <w:r>
        <w:rPr>
          <w:color w:val="000000" w:themeColor="text1"/>
          <w:lang w:val="en-GB"/>
        </w:rPr>
        <w:t xml:space="preserve">OECD </w:t>
      </w:r>
      <w:r w:rsidR="004E574C">
        <w:rPr>
          <w:color w:val="000000" w:themeColor="text1"/>
          <w:lang w:val="en-GB"/>
        </w:rPr>
        <w:t xml:space="preserve">team </w:t>
      </w:r>
      <w:r>
        <w:rPr>
          <w:color w:val="000000" w:themeColor="text1"/>
          <w:lang w:val="en-GB"/>
        </w:rPr>
        <w:t>visit</w:t>
      </w:r>
      <w:r w:rsidR="004E574C">
        <w:rPr>
          <w:color w:val="000000" w:themeColor="text1"/>
          <w:lang w:val="en-GB"/>
        </w:rPr>
        <w:t>ed</w:t>
      </w:r>
      <w:r>
        <w:rPr>
          <w:color w:val="000000" w:themeColor="text1"/>
          <w:lang w:val="en-GB"/>
        </w:rPr>
        <w:t xml:space="preserve"> </w:t>
      </w:r>
      <w:r>
        <w:rPr>
          <w:color w:val="000000" w:themeColor="text1"/>
          <w:lang w:val="en-GB"/>
        </w:rPr>
        <w:t xml:space="preserve">Central Greece </w:t>
      </w:r>
      <w:r w:rsidR="004E574C">
        <w:rPr>
          <w:color w:val="000000" w:themeColor="text1"/>
          <w:lang w:val="en-GB"/>
        </w:rPr>
        <w:t>d</w:t>
      </w:r>
      <w:r>
        <w:rPr>
          <w:color w:val="000000" w:themeColor="text1"/>
          <w:lang w:val="en-GB"/>
        </w:rPr>
        <w:t xml:space="preserve">uring </w:t>
      </w:r>
      <w:r w:rsidR="004E574C">
        <w:rPr>
          <w:color w:val="000000" w:themeColor="text1"/>
          <w:lang w:val="en-GB"/>
        </w:rPr>
        <w:t xml:space="preserve">12-15 February </w:t>
      </w:r>
      <w:r>
        <w:rPr>
          <w:color w:val="000000" w:themeColor="text1"/>
          <w:lang w:val="en-GB"/>
        </w:rPr>
        <w:t>2024</w:t>
      </w:r>
      <w:r w:rsidR="004E574C">
        <w:rPr>
          <w:color w:val="000000" w:themeColor="text1"/>
          <w:lang w:val="en-GB"/>
        </w:rPr>
        <w:t xml:space="preserve">, holding more than fifteen meetings with national, </w:t>
      </w:r>
      <w:proofErr w:type="gramStart"/>
      <w:r w:rsidR="004E574C">
        <w:rPr>
          <w:color w:val="000000" w:themeColor="text1"/>
          <w:lang w:val="en-GB"/>
        </w:rPr>
        <w:t>regional</w:t>
      </w:r>
      <w:proofErr w:type="gramEnd"/>
      <w:r w:rsidR="004E574C">
        <w:rPr>
          <w:color w:val="000000" w:themeColor="text1"/>
          <w:lang w:val="en-GB"/>
        </w:rPr>
        <w:t xml:space="preserve"> and local representatives, worker</w:t>
      </w:r>
      <w:r w:rsidR="0093067A">
        <w:rPr>
          <w:color w:val="000000" w:themeColor="text1"/>
          <w:lang w:val="en-GB"/>
        </w:rPr>
        <w:t>s</w:t>
      </w:r>
      <w:r w:rsidR="004E574C">
        <w:rPr>
          <w:color w:val="000000" w:themeColor="text1"/>
          <w:lang w:val="en-GB"/>
        </w:rPr>
        <w:t xml:space="preserve">, mining association and companies as well as universities. </w:t>
      </w:r>
      <w:r>
        <w:rPr>
          <w:color w:val="000000" w:themeColor="text1"/>
          <w:lang w:val="en-GB"/>
        </w:rPr>
        <w:t xml:space="preserve">The peer reviewers to the mission were </w:t>
      </w:r>
      <w:r w:rsidR="004E574C">
        <w:rPr>
          <w:color w:val="000000" w:themeColor="text1"/>
          <w:lang w:val="en-GB"/>
        </w:rPr>
        <w:t xml:space="preserve">Manuel Vasquez from Andalusia region (Spain) and Leena </w:t>
      </w:r>
      <w:r w:rsidR="004E574C">
        <w:rPr>
          <w:lang w:val="en-GB"/>
        </w:rPr>
        <w:t xml:space="preserve">Suopajärvi </w:t>
      </w:r>
      <w:r w:rsidR="004E574C">
        <w:rPr>
          <w:lang w:val="en-GB"/>
        </w:rPr>
        <w:t xml:space="preserve">from Lapland region (Finland). </w:t>
      </w:r>
      <w:r>
        <w:rPr>
          <w:color w:val="000000" w:themeColor="text1"/>
          <w:lang w:val="en-GB"/>
        </w:rPr>
        <w:t xml:space="preserve">A main policy focus for the region is improving </w:t>
      </w:r>
      <w:r w:rsidR="004E574C">
        <w:rPr>
          <w:color w:val="000000" w:themeColor="text1"/>
          <w:lang w:val="en-GB"/>
        </w:rPr>
        <w:t>the information and social perception about moder mining.</w:t>
      </w:r>
    </w:p>
    <w:p w14:paraId="1448E4BD" w14:textId="77777777" w:rsidR="004E574C" w:rsidRDefault="004E574C" w:rsidP="00C25695">
      <w:pPr>
        <w:spacing w:after="0" w:line="240" w:lineRule="auto"/>
        <w:rPr>
          <w:b/>
          <w:bCs/>
          <w:color w:val="ED7D31" w:themeColor="accent2"/>
          <w:sz w:val="24"/>
          <w:szCs w:val="24"/>
          <w:lang w:val="en-GB"/>
        </w:rPr>
      </w:pPr>
    </w:p>
    <w:p w14:paraId="266C803E" w14:textId="76C51745" w:rsidR="00B05026" w:rsidRPr="00594EDF" w:rsidRDefault="00B05026" w:rsidP="00B05026">
      <w:pPr>
        <w:spacing w:after="0" w:line="240" w:lineRule="auto"/>
        <w:rPr>
          <w:b/>
          <w:bCs/>
          <w:color w:val="ED7D31" w:themeColor="accent2"/>
          <w:sz w:val="24"/>
          <w:szCs w:val="24"/>
          <w:lang w:val="en-GB"/>
        </w:rPr>
      </w:pPr>
      <w:r w:rsidRPr="00594EDF">
        <w:rPr>
          <w:b/>
          <w:bCs/>
          <w:color w:val="ED7D31" w:themeColor="accent2"/>
          <w:sz w:val="24"/>
          <w:szCs w:val="24"/>
          <w:lang w:val="en-GB"/>
        </w:rPr>
        <w:t>Current state:</w:t>
      </w:r>
    </w:p>
    <w:p w14:paraId="1870AADD" w14:textId="71A04FE6" w:rsidR="004E574C" w:rsidRDefault="00E95470" w:rsidP="00E95470">
      <w:pPr>
        <w:jc w:val="both"/>
        <w:rPr>
          <w:color w:val="000000" w:themeColor="text1"/>
          <w:lang w:val="en-GB"/>
        </w:rPr>
      </w:pPr>
      <w:r w:rsidRPr="00E95470">
        <w:rPr>
          <w:color w:val="000000" w:themeColor="text1"/>
          <w:lang w:val="en-GB"/>
        </w:rPr>
        <w:t>The region boasts the EU's largest production and refining of Bauxite, vital for Aluminium. While historically significant</w:t>
      </w:r>
      <w:r>
        <w:rPr>
          <w:color w:val="000000" w:themeColor="text1"/>
          <w:lang w:val="en-GB"/>
        </w:rPr>
        <w:t xml:space="preserve"> and relevant to provide job opportunities </w:t>
      </w:r>
      <w:r w:rsidRPr="00E95470">
        <w:rPr>
          <w:color w:val="000000" w:themeColor="text1"/>
          <w:lang w:val="en-GB"/>
        </w:rPr>
        <w:t>in remote municipalities, economically available deposits are shrinking, necessitating technological upgrades to locate new deposits and extract minerals from tailings.</w:t>
      </w:r>
      <w:r>
        <w:rPr>
          <w:color w:val="000000" w:themeColor="text1"/>
          <w:lang w:val="en-GB"/>
        </w:rPr>
        <w:t xml:space="preserve"> </w:t>
      </w:r>
    </w:p>
    <w:p w14:paraId="7A20ABF8" w14:textId="08C8959F" w:rsidR="004E574C" w:rsidRDefault="00E95470" w:rsidP="00E95470">
      <w:pPr>
        <w:jc w:val="both"/>
        <w:rPr>
          <w:lang w:val="en-GB"/>
        </w:rPr>
      </w:pPr>
      <w:r>
        <w:rPr>
          <w:lang w:val="en-GB"/>
        </w:rPr>
        <w:t>While t</w:t>
      </w:r>
      <w:r w:rsidR="004E574C">
        <w:rPr>
          <w:lang w:val="en-GB"/>
        </w:rPr>
        <w:t xml:space="preserve">he </w:t>
      </w:r>
      <w:r>
        <w:rPr>
          <w:lang w:val="en-GB"/>
        </w:rPr>
        <w:t xml:space="preserve">national </w:t>
      </w:r>
      <w:r w:rsidR="004E574C">
        <w:rPr>
          <w:lang w:val="en-GB"/>
        </w:rPr>
        <w:t>government</w:t>
      </w:r>
      <w:r>
        <w:rPr>
          <w:lang w:val="en-GB"/>
        </w:rPr>
        <w:t xml:space="preserve"> is starting to take actions</w:t>
      </w:r>
      <w:r w:rsidR="004E574C">
        <w:rPr>
          <w:lang w:val="en-GB"/>
        </w:rPr>
        <w:t xml:space="preserve"> to improve coordination for mining permitting, </w:t>
      </w:r>
      <w:r>
        <w:rPr>
          <w:lang w:val="en-GB"/>
        </w:rPr>
        <w:t xml:space="preserve">there is incipient involvement </w:t>
      </w:r>
      <w:r w:rsidR="004E574C">
        <w:rPr>
          <w:lang w:val="en-GB"/>
        </w:rPr>
        <w:t>of regions and municipalities in</w:t>
      </w:r>
      <w:r>
        <w:rPr>
          <w:lang w:val="en-GB"/>
        </w:rPr>
        <w:t xml:space="preserve"> the strategic decision for </w:t>
      </w:r>
      <w:proofErr w:type="gramStart"/>
      <w:r>
        <w:rPr>
          <w:lang w:val="en-GB"/>
        </w:rPr>
        <w:t xml:space="preserve">mining </w:t>
      </w:r>
      <w:r w:rsidR="004E574C">
        <w:rPr>
          <w:lang w:val="en-GB"/>
        </w:rPr>
        <w:t>.</w:t>
      </w:r>
      <w:proofErr w:type="gramEnd"/>
      <w:r>
        <w:rPr>
          <w:lang w:val="en-GB"/>
        </w:rPr>
        <w:t xml:space="preserve"> </w:t>
      </w:r>
      <w:r w:rsidR="004E574C">
        <w:rPr>
          <w:lang w:val="en-GB"/>
        </w:rPr>
        <w:t xml:space="preserve">A national mineral strategy, including measures to rehabilitate abandoned mines or support circular practices in mining, </w:t>
      </w:r>
      <w:r>
        <w:rPr>
          <w:lang w:val="en-GB"/>
        </w:rPr>
        <w:t>will help</w:t>
      </w:r>
      <w:r w:rsidR="004E574C">
        <w:rPr>
          <w:lang w:val="en-GB"/>
        </w:rPr>
        <w:t xml:space="preserve"> enhance sustainable mineral supply in the country and improve the benefits of this activity in the region. </w:t>
      </w:r>
    </w:p>
    <w:tbl>
      <w:tblPr>
        <w:tblStyle w:val="TableGrid"/>
        <w:tblW w:w="0" w:type="auto"/>
        <w:tblLook w:val="04A0" w:firstRow="1" w:lastRow="0" w:firstColumn="1" w:lastColumn="0" w:noHBand="0" w:noVBand="1"/>
      </w:tblPr>
      <w:tblGrid>
        <w:gridCol w:w="4249"/>
        <w:gridCol w:w="4245"/>
      </w:tblGrid>
      <w:tr w:rsidR="00A3401C" w14:paraId="1BED0573" w14:textId="77777777" w:rsidTr="00E95470">
        <w:tc>
          <w:tcPr>
            <w:tcW w:w="4249" w:type="dxa"/>
          </w:tcPr>
          <w:p w14:paraId="278A67E8" w14:textId="641190A9" w:rsidR="00A3401C" w:rsidRDefault="004E574C" w:rsidP="00E92A2D">
            <w:pPr>
              <w:spacing w:after="0" w:line="240" w:lineRule="auto"/>
              <w:jc w:val="both"/>
              <w:rPr>
                <w:color w:val="000000" w:themeColor="text1"/>
                <w:lang w:val="en-GB"/>
              </w:rPr>
            </w:pPr>
            <w:r>
              <w:rPr>
                <w:color w:val="000000" w:themeColor="text1"/>
                <w:lang w:val="en-GB"/>
              </w:rPr>
              <w:t xml:space="preserve"> </w:t>
            </w:r>
            <w:r w:rsidR="00A3401C">
              <w:rPr>
                <w:color w:val="000000" w:themeColor="text1"/>
                <w:lang w:val="en-GB"/>
              </w:rPr>
              <w:t>Strengths</w:t>
            </w:r>
          </w:p>
        </w:tc>
        <w:tc>
          <w:tcPr>
            <w:tcW w:w="4245" w:type="dxa"/>
          </w:tcPr>
          <w:p w14:paraId="03C0F113" w14:textId="799E7663" w:rsidR="00A3401C" w:rsidRDefault="00A3401C" w:rsidP="00E92A2D">
            <w:pPr>
              <w:spacing w:after="0" w:line="240" w:lineRule="auto"/>
              <w:jc w:val="both"/>
              <w:rPr>
                <w:color w:val="000000" w:themeColor="text1"/>
                <w:lang w:val="en-GB"/>
              </w:rPr>
            </w:pPr>
            <w:r>
              <w:rPr>
                <w:color w:val="000000" w:themeColor="text1"/>
                <w:lang w:val="en-GB"/>
              </w:rPr>
              <w:t xml:space="preserve">Bottlenecks </w:t>
            </w:r>
          </w:p>
        </w:tc>
      </w:tr>
      <w:tr w:rsidR="00A3401C" w:rsidRPr="00186551" w14:paraId="274A2CA3" w14:textId="77777777" w:rsidTr="00E95470">
        <w:tc>
          <w:tcPr>
            <w:tcW w:w="4249" w:type="dxa"/>
          </w:tcPr>
          <w:p w14:paraId="6EF6D24F" w14:textId="4D4EBFDF" w:rsidR="00A3401C" w:rsidRDefault="00A3401C" w:rsidP="00E92A2D">
            <w:pPr>
              <w:spacing w:after="0" w:line="240" w:lineRule="auto"/>
              <w:jc w:val="both"/>
              <w:rPr>
                <w:color w:val="000000" w:themeColor="text1"/>
                <w:lang w:val="en-GB"/>
              </w:rPr>
            </w:pPr>
            <w:r>
              <w:rPr>
                <w:color w:val="000000" w:themeColor="text1"/>
                <w:lang w:val="en-GB"/>
              </w:rPr>
              <w:t>Key European producer of bauxite and aluminium</w:t>
            </w:r>
          </w:p>
        </w:tc>
        <w:tc>
          <w:tcPr>
            <w:tcW w:w="4245" w:type="dxa"/>
          </w:tcPr>
          <w:p w14:paraId="0DEF101F" w14:textId="1CCA4782" w:rsidR="00A3401C" w:rsidRDefault="00A3401C" w:rsidP="00E92A2D">
            <w:pPr>
              <w:spacing w:after="0" w:line="240" w:lineRule="auto"/>
              <w:jc w:val="both"/>
              <w:rPr>
                <w:color w:val="000000" w:themeColor="text1"/>
                <w:lang w:val="en-GB"/>
              </w:rPr>
            </w:pPr>
            <w:r>
              <w:rPr>
                <w:color w:val="000000" w:themeColor="text1"/>
                <w:lang w:val="en-GB"/>
              </w:rPr>
              <w:t xml:space="preserve">Lack of </w:t>
            </w:r>
            <w:r w:rsidR="009948CA">
              <w:rPr>
                <w:color w:val="000000" w:themeColor="text1"/>
                <w:lang w:val="en-GB"/>
              </w:rPr>
              <w:t>national mineral strategy or promotion</w:t>
            </w:r>
            <w:r w:rsidR="0093067A">
              <w:rPr>
                <w:color w:val="000000" w:themeColor="text1"/>
                <w:lang w:val="en-GB"/>
              </w:rPr>
              <w:t xml:space="preserve"> plan</w:t>
            </w:r>
            <w:r w:rsidR="009948CA">
              <w:rPr>
                <w:color w:val="000000" w:themeColor="text1"/>
                <w:lang w:val="en-GB"/>
              </w:rPr>
              <w:t xml:space="preserve"> </w:t>
            </w:r>
            <w:r>
              <w:rPr>
                <w:color w:val="000000" w:themeColor="text1"/>
                <w:lang w:val="en-GB"/>
              </w:rPr>
              <w:t xml:space="preserve">to attract </w:t>
            </w:r>
            <w:r w:rsidR="009948CA">
              <w:rPr>
                <w:color w:val="000000" w:themeColor="text1"/>
                <w:lang w:val="en-GB"/>
              </w:rPr>
              <w:t xml:space="preserve">investment </w:t>
            </w:r>
            <w:r>
              <w:rPr>
                <w:color w:val="000000" w:themeColor="text1"/>
                <w:lang w:val="en-GB"/>
              </w:rPr>
              <w:t xml:space="preserve">in mining for exploration or operation </w:t>
            </w:r>
          </w:p>
        </w:tc>
      </w:tr>
      <w:tr w:rsidR="00A3401C" w:rsidRPr="00186551" w14:paraId="25BAF9D6" w14:textId="77777777" w:rsidTr="00E95470">
        <w:tc>
          <w:tcPr>
            <w:tcW w:w="4249" w:type="dxa"/>
          </w:tcPr>
          <w:p w14:paraId="639F259B" w14:textId="18E025A3" w:rsidR="00A3401C" w:rsidRPr="00A3401C" w:rsidRDefault="00A3401C" w:rsidP="00E92A2D">
            <w:pPr>
              <w:spacing w:after="0" w:line="240" w:lineRule="auto"/>
              <w:jc w:val="both"/>
              <w:rPr>
                <w:color w:val="000000" w:themeColor="text1"/>
                <w:lang w:val="en-US"/>
              </w:rPr>
            </w:pPr>
            <w:r w:rsidRPr="00A3401C">
              <w:rPr>
                <w:color w:val="000000" w:themeColor="text1"/>
                <w:lang w:val="en-US"/>
              </w:rPr>
              <w:t>Positive social perception on existing mining pro</w:t>
            </w:r>
            <w:r>
              <w:rPr>
                <w:color w:val="000000" w:themeColor="text1"/>
                <w:lang w:val="en-US"/>
              </w:rPr>
              <w:t>jects</w:t>
            </w:r>
          </w:p>
        </w:tc>
        <w:tc>
          <w:tcPr>
            <w:tcW w:w="4245" w:type="dxa"/>
          </w:tcPr>
          <w:p w14:paraId="6B729495" w14:textId="5C6993C1" w:rsidR="00A3401C" w:rsidRPr="00A3401C" w:rsidRDefault="00A3401C" w:rsidP="00E92A2D">
            <w:pPr>
              <w:spacing w:after="0" w:line="240" w:lineRule="auto"/>
              <w:jc w:val="both"/>
              <w:rPr>
                <w:color w:val="000000" w:themeColor="text1"/>
                <w:lang w:val="en-US"/>
              </w:rPr>
            </w:pPr>
            <w:r>
              <w:rPr>
                <w:color w:val="000000" w:themeColor="text1"/>
                <w:lang w:val="en-GB"/>
              </w:rPr>
              <w:t>C</w:t>
            </w:r>
            <w:r w:rsidRPr="00A645E2">
              <w:rPr>
                <w:color w:val="000000" w:themeColor="text1"/>
                <w:lang w:val="en-GB"/>
              </w:rPr>
              <w:t xml:space="preserve">omplex </w:t>
            </w:r>
            <w:r>
              <w:rPr>
                <w:color w:val="000000" w:themeColor="text1"/>
                <w:lang w:val="en-GB"/>
              </w:rPr>
              <w:t xml:space="preserve">and slow permitting process, for exploration, new projects </w:t>
            </w:r>
            <w:r w:rsidR="0093067A">
              <w:rPr>
                <w:color w:val="000000" w:themeColor="text1"/>
                <w:lang w:val="en-GB"/>
              </w:rPr>
              <w:t>and</w:t>
            </w:r>
            <w:r>
              <w:rPr>
                <w:color w:val="000000" w:themeColor="text1"/>
                <w:lang w:val="en-GB"/>
              </w:rPr>
              <w:t xml:space="preserve"> even extension of active mines-</w:t>
            </w:r>
          </w:p>
        </w:tc>
      </w:tr>
      <w:tr w:rsidR="00A3401C" w:rsidRPr="00186551" w14:paraId="09929ABD" w14:textId="77777777" w:rsidTr="00E95470">
        <w:tc>
          <w:tcPr>
            <w:tcW w:w="4249" w:type="dxa"/>
          </w:tcPr>
          <w:p w14:paraId="110F5B31" w14:textId="10EC6050" w:rsidR="00A3401C" w:rsidRPr="00A3401C" w:rsidRDefault="00A3401C" w:rsidP="00E92A2D">
            <w:pPr>
              <w:spacing w:after="0" w:line="240" w:lineRule="auto"/>
              <w:jc w:val="both"/>
              <w:rPr>
                <w:color w:val="000000" w:themeColor="text1"/>
                <w:lang w:val="en-US"/>
              </w:rPr>
            </w:pPr>
            <w:r>
              <w:rPr>
                <w:color w:val="000000" w:themeColor="text1"/>
                <w:lang w:val="en-US"/>
              </w:rPr>
              <w:t>Social responsibility</w:t>
            </w:r>
            <w:r w:rsidR="0093067A">
              <w:rPr>
                <w:color w:val="000000" w:themeColor="text1"/>
                <w:lang w:val="en-US"/>
              </w:rPr>
              <w:t xml:space="preserve"> actions</w:t>
            </w:r>
            <w:r>
              <w:rPr>
                <w:color w:val="000000" w:themeColor="text1"/>
                <w:lang w:val="en-US"/>
              </w:rPr>
              <w:t xml:space="preserve"> by the main mining company in the region, including forest management, and training. </w:t>
            </w:r>
          </w:p>
        </w:tc>
        <w:tc>
          <w:tcPr>
            <w:tcW w:w="4245" w:type="dxa"/>
          </w:tcPr>
          <w:p w14:paraId="152A0F1D" w14:textId="3B890202" w:rsidR="00A3401C" w:rsidRPr="00A3401C" w:rsidRDefault="009948CA" w:rsidP="00E92A2D">
            <w:pPr>
              <w:spacing w:after="0" w:line="240" w:lineRule="auto"/>
              <w:jc w:val="both"/>
              <w:rPr>
                <w:color w:val="000000" w:themeColor="text1"/>
                <w:lang w:val="en-US"/>
              </w:rPr>
            </w:pPr>
            <w:r>
              <w:rPr>
                <w:color w:val="000000" w:themeColor="text1"/>
                <w:lang w:val="en-GB"/>
              </w:rPr>
              <w:t xml:space="preserve">Lack of promotion of the benefits of the sector has led the installation of anti-mining narrative coming form the main cities. </w:t>
            </w:r>
            <w:r w:rsidR="00A3401C">
              <w:rPr>
                <w:color w:val="000000" w:themeColor="text1"/>
                <w:lang w:val="en-GB"/>
              </w:rPr>
              <w:t xml:space="preserve"> </w:t>
            </w:r>
          </w:p>
        </w:tc>
      </w:tr>
      <w:tr w:rsidR="00A3401C" w:rsidRPr="00186551" w14:paraId="1108F9AF" w14:textId="77777777" w:rsidTr="00E95470">
        <w:tc>
          <w:tcPr>
            <w:tcW w:w="4249" w:type="dxa"/>
          </w:tcPr>
          <w:p w14:paraId="5846F7E9" w14:textId="1EE122ED" w:rsidR="00A3401C" w:rsidRPr="00A3401C" w:rsidRDefault="00A3401C" w:rsidP="00E92A2D">
            <w:pPr>
              <w:spacing w:after="0" w:line="240" w:lineRule="auto"/>
              <w:jc w:val="both"/>
              <w:rPr>
                <w:color w:val="000000" w:themeColor="text1"/>
                <w:lang w:val="en-US"/>
              </w:rPr>
            </w:pPr>
            <w:r>
              <w:rPr>
                <w:color w:val="000000" w:themeColor="text1"/>
                <w:lang w:val="en-GB"/>
              </w:rPr>
              <w:t>Strong technical university ecosystem in Athens</w:t>
            </w:r>
            <w:r w:rsidR="00B40544">
              <w:rPr>
                <w:color w:val="000000" w:themeColor="text1"/>
                <w:lang w:val="en-GB"/>
              </w:rPr>
              <w:t>,</w:t>
            </w:r>
            <w:r>
              <w:rPr>
                <w:color w:val="000000" w:themeColor="text1"/>
                <w:lang w:val="en-GB"/>
              </w:rPr>
              <w:t xml:space="preserve"> piloting practical innovation projects on circular economy for the mining sector in Central Greece</w:t>
            </w:r>
          </w:p>
        </w:tc>
        <w:tc>
          <w:tcPr>
            <w:tcW w:w="4245" w:type="dxa"/>
          </w:tcPr>
          <w:p w14:paraId="35A188C7" w14:textId="1E82B6B6" w:rsidR="00A3401C" w:rsidRPr="00A3401C" w:rsidRDefault="009948CA" w:rsidP="00E92A2D">
            <w:pPr>
              <w:spacing w:after="0" w:line="240" w:lineRule="auto"/>
              <w:jc w:val="both"/>
              <w:rPr>
                <w:color w:val="000000" w:themeColor="text1"/>
                <w:lang w:val="en-US"/>
              </w:rPr>
            </w:pPr>
            <w:r>
              <w:rPr>
                <w:color w:val="000000" w:themeColor="text1"/>
                <w:lang w:val="en-US"/>
              </w:rPr>
              <w:t xml:space="preserve">Lack of collaboration between regional universities and professional education with mining companies. </w:t>
            </w:r>
          </w:p>
        </w:tc>
      </w:tr>
      <w:tr w:rsidR="00A3401C" w:rsidRPr="00186551" w14:paraId="62EB75E3" w14:textId="77777777" w:rsidTr="00E95470">
        <w:tc>
          <w:tcPr>
            <w:tcW w:w="4249" w:type="dxa"/>
          </w:tcPr>
          <w:p w14:paraId="7670AE5A" w14:textId="675F5E01" w:rsidR="00A3401C" w:rsidRDefault="00A3401C" w:rsidP="00E92A2D">
            <w:pPr>
              <w:spacing w:after="0" w:line="240" w:lineRule="auto"/>
              <w:jc w:val="both"/>
              <w:rPr>
                <w:color w:val="000000" w:themeColor="text1"/>
                <w:lang w:val="en-GB"/>
              </w:rPr>
            </w:pPr>
            <w:r>
              <w:rPr>
                <w:color w:val="000000" w:themeColor="text1"/>
                <w:lang w:val="en-GB"/>
              </w:rPr>
              <w:t>Port Infrastructure</w:t>
            </w:r>
            <w:r w:rsidR="0093067A">
              <w:rPr>
                <w:color w:val="000000" w:themeColor="text1"/>
                <w:lang w:val="en-GB"/>
              </w:rPr>
              <w:t xml:space="preserve"> and mining companies with potential to innovate</w:t>
            </w:r>
            <w:r w:rsidR="0055683C">
              <w:rPr>
                <w:color w:val="000000" w:themeColor="text1"/>
                <w:lang w:val="en-GB"/>
              </w:rPr>
              <w:t xml:space="preserve">. </w:t>
            </w:r>
          </w:p>
        </w:tc>
        <w:tc>
          <w:tcPr>
            <w:tcW w:w="4245" w:type="dxa"/>
          </w:tcPr>
          <w:p w14:paraId="5BDDB166" w14:textId="1E8D2B24" w:rsidR="00A3401C" w:rsidRPr="00A3401C" w:rsidRDefault="00A3401C" w:rsidP="00E92A2D">
            <w:pPr>
              <w:spacing w:after="0" w:line="240" w:lineRule="auto"/>
              <w:jc w:val="both"/>
              <w:rPr>
                <w:color w:val="000000" w:themeColor="text1"/>
                <w:lang w:val="en-US"/>
              </w:rPr>
            </w:pPr>
            <w:r>
              <w:rPr>
                <w:color w:val="000000" w:themeColor="text1"/>
                <w:lang w:val="en-US"/>
              </w:rPr>
              <w:t>Cost of energy for mining and metallurgy sector</w:t>
            </w:r>
            <w:r w:rsidR="00B40544">
              <w:rPr>
                <w:color w:val="000000" w:themeColor="text1"/>
                <w:lang w:val="en-US"/>
              </w:rPr>
              <w:t xml:space="preserve"> (</w:t>
            </w:r>
            <w:r>
              <w:rPr>
                <w:color w:val="000000" w:themeColor="text1"/>
                <w:lang w:val="en-US"/>
              </w:rPr>
              <w:t xml:space="preserve">Fossil </w:t>
            </w:r>
            <w:r w:rsidR="00B40544">
              <w:rPr>
                <w:color w:val="000000" w:themeColor="text1"/>
                <w:lang w:val="en-US"/>
              </w:rPr>
              <w:t>fuel based)</w:t>
            </w:r>
            <w:r>
              <w:rPr>
                <w:color w:val="000000" w:themeColor="text1"/>
                <w:lang w:val="en-US"/>
              </w:rPr>
              <w:t>.</w:t>
            </w:r>
          </w:p>
        </w:tc>
      </w:tr>
    </w:tbl>
    <w:p w14:paraId="50E059FC" w14:textId="77777777" w:rsidR="00552003" w:rsidRPr="00A3401C" w:rsidRDefault="00552003" w:rsidP="00B05026">
      <w:pPr>
        <w:spacing w:after="0" w:line="240" w:lineRule="auto"/>
        <w:rPr>
          <w:color w:val="000000" w:themeColor="text1"/>
          <w:lang w:val="en-US"/>
        </w:rPr>
      </w:pPr>
    </w:p>
    <w:p w14:paraId="6604AE50" w14:textId="1D7615CE" w:rsidR="00E92A2D" w:rsidRPr="00100DBC" w:rsidRDefault="009E44BC" w:rsidP="00552003">
      <w:pPr>
        <w:spacing w:after="0" w:line="240" w:lineRule="auto"/>
        <w:rPr>
          <w:b/>
          <w:bCs/>
          <w:color w:val="ED7D31" w:themeColor="accent2"/>
          <w:sz w:val="24"/>
          <w:szCs w:val="24"/>
          <w:lang w:val="en-GB"/>
        </w:rPr>
      </w:pPr>
      <w:r w:rsidRPr="00100DBC">
        <w:rPr>
          <w:b/>
          <w:bCs/>
          <w:color w:val="ED7D31" w:themeColor="accent2"/>
          <w:sz w:val="24"/>
          <w:szCs w:val="24"/>
          <w:lang w:val="en-GB"/>
        </w:rPr>
        <w:t xml:space="preserve">Key takeaways </w:t>
      </w:r>
    </w:p>
    <w:p w14:paraId="49C91D38" w14:textId="0445986E" w:rsidR="00E92A2D" w:rsidRDefault="00B40544" w:rsidP="00B40544">
      <w:pPr>
        <w:pStyle w:val="ListParagraph"/>
        <w:numPr>
          <w:ilvl w:val="0"/>
          <w:numId w:val="14"/>
        </w:numPr>
        <w:spacing w:after="0" w:line="240" w:lineRule="auto"/>
        <w:jc w:val="both"/>
        <w:rPr>
          <w:color w:val="000000" w:themeColor="text1"/>
          <w:lang w:val="en-GB"/>
        </w:rPr>
      </w:pPr>
      <w:r w:rsidRPr="00B40544">
        <w:rPr>
          <w:color w:val="000000" w:themeColor="text1"/>
          <w:lang w:val="en-GB"/>
        </w:rPr>
        <w:t xml:space="preserve">Technological investment is </w:t>
      </w:r>
      <w:r>
        <w:rPr>
          <w:color w:val="000000" w:themeColor="text1"/>
          <w:lang w:val="en-GB"/>
        </w:rPr>
        <w:t>needed</w:t>
      </w:r>
      <w:r w:rsidRPr="00B40544">
        <w:rPr>
          <w:color w:val="000000" w:themeColor="text1"/>
          <w:lang w:val="en-GB"/>
        </w:rPr>
        <w:t xml:space="preserve"> to extend the lifespan of Bauxite supply</w:t>
      </w:r>
      <w:r w:rsidR="0093067A">
        <w:rPr>
          <w:color w:val="000000" w:themeColor="text1"/>
          <w:lang w:val="en-GB"/>
        </w:rPr>
        <w:t>, to support</w:t>
      </w:r>
      <w:r w:rsidRPr="00B40544">
        <w:rPr>
          <w:color w:val="000000" w:themeColor="text1"/>
          <w:lang w:val="en-GB"/>
        </w:rPr>
        <w:t xml:space="preserve"> greater investments for deeper reserves</w:t>
      </w:r>
      <w:r w:rsidR="00E92A2D" w:rsidRPr="00E92A2D">
        <w:rPr>
          <w:color w:val="000000" w:themeColor="text1"/>
          <w:lang w:val="en-GB"/>
        </w:rPr>
        <w:t xml:space="preserve">. </w:t>
      </w:r>
    </w:p>
    <w:p w14:paraId="2E970705" w14:textId="71DBE5CB" w:rsidR="00BE26B0" w:rsidRPr="00E92A2D" w:rsidRDefault="00B40544" w:rsidP="00B40544">
      <w:pPr>
        <w:pStyle w:val="ListParagraph"/>
        <w:numPr>
          <w:ilvl w:val="0"/>
          <w:numId w:val="14"/>
        </w:numPr>
        <w:spacing w:after="0" w:line="240" w:lineRule="auto"/>
        <w:jc w:val="both"/>
        <w:rPr>
          <w:color w:val="000000" w:themeColor="text1"/>
          <w:lang w:val="en-GB"/>
        </w:rPr>
      </w:pPr>
      <w:r w:rsidRPr="00B40544">
        <w:rPr>
          <w:color w:val="000000" w:themeColor="text1"/>
          <w:lang w:val="en-GB"/>
        </w:rPr>
        <w:t xml:space="preserve">Production of ferronickel, </w:t>
      </w:r>
      <w:proofErr w:type="spellStart"/>
      <w:r w:rsidRPr="00B40544">
        <w:rPr>
          <w:color w:val="000000" w:themeColor="text1"/>
          <w:lang w:val="en-GB"/>
        </w:rPr>
        <w:t>aluminum</w:t>
      </w:r>
      <w:proofErr w:type="spellEnd"/>
      <w:r w:rsidRPr="00B40544">
        <w:rPr>
          <w:color w:val="000000" w:themeColor="text1"/>
          <w:lang w:val="en-GB"/>
        </w:rPr>
        <w:t xml:space="preserve">, and gallium as byproducts from waste in mining and refining processes </w:t>
      </w:r>
      <w:r>
        <w:rPr>
          <w:color w:val="000000" w:themeColor="text1"/>
          <w:lang w:val="en-GB"/>
        </w:rPr>
        <w:t xml:space="preserve">can </w:t>
      </w:r>
      <w:r w:rsidRPr="00B40544">
        <w:rPr>
          <w:color w:val="000000" w:themeColor="text1"/>
          <w:lang w:val="en-GB"/>
        </w:rPr>
        <w:t xml:space="preserve">extend mineral supply relevance in the region. </w:t>
      </w:r>
      <w:r w:rsidR="0093067A">
        <w:rPr>
          <w:color w:val="000000" w:themeColor="text1"/>
          <w:lang w:val="en-GB"/>
        </w:rPr>
        <w:t>Yet</w:t>
      </w:r>
      <w:r w:rsidRPr="00B40544">
        <w:rPr>
          <w:color w:val="000000" w:themeColor="text1"/>
          <w:lang w:val="en-GB"/>
        </w:rPr>
        <w:t xml:space="preserve">, it </w:t>
      </w:r>
      <w:r w:rsidR="0093067A">
        <w:rPr>
          <w:color w:val="000000" w:themeColor="text1"/>
          <w:lang w:val="en-GB"/>
        </w:rPr>
        <w:t>need</w:t>
      </w:r>
      <w:r w:rsidRPr="00B40544">
        <w:rPr>
          <w:color w:val="000000" w:themeColor="text1"/>
          <w:lang w:val="en-GB"/>
        </w:rPr>
        <w:t>s additional funding for innovative processing technologies to ensure economic viability</w:t>
      </w:r>
      <w:r w:rsidR="00B87149" w:rsidRPr="00E92A2D">
        <w:rPr>
          <w:color w:val="000000" w:themeColor="text1"/>
          <w:lang w:val="en-GB"/>
        </w:rPr>
        <w:t>.</w:t>
      </w:r>
      <w:r w:rsidR="00BE26B0" w:rsidRPr="00E92A2D">
        <w:rPr>
          <w:color w:val="000000" w:themeColor="text1"/>
          <w:lang w:val="en-GB"/>
        </w:rPr>
        <w:t xml:space="preserve"> </w:t>
      </w:r>
    </w:p>
    <w:p w14:paraId="6C4CC41B" w14:textId="2F25D738" w:rsidR="00B05026" w:rsidRPr="00594EDF" w:rsidRDefault="00B05026" w:rsidP="00B05026">
      <w:pPr>
        <w:spacing w:after="0" w:line="240" w:lineRule="auto"/>
        <w:rPr>
          <w:b/>
          <w:bCs/>
          <w:color w:val="000000" w:themeColor="text1"/>
          <w:lang w:val="en-GB"/>
        </w:rPr>
      </w:pPr>
      <w:r w:rsidRPr="00594EDF">
        <w:rPr>
          <w:b/>
          <w:bCs/>
          <w:color w:val="000000" w:themeColor="text1"/>
          <w:lang w:val="en-GB"/>
        </w:rPr>
        <w:t>Labour market:</w:t>
      </w:r>
    </w:p>
    <w:p w14:paraId="237CA4C4" w14:textId="23658036" w:rsidR="00A3401C" w:rsidRDefault="00B40544" w:rsidP="00B40544">
      <w:pPr>
        <w:pStyle w:val="ListParagraph"/>
        <w:numPr>
          <w:ilvl w:val="0"/>
          <w:numId w:val="11"/>
        </w:numPr>
        <w:spacing w:after="0" w:line="240" w:lineRule="auto"/>
        <w:jc w:val="both"/>
        <w:rPr>
          <w:color w:val="000000" w:themeColor="text1"/>
          <w:lang w:val="en-GB"/>
        </w:rPr>
      </w:pPr>
      <w:r w:rsidRPr="00B40544">
        <w:rPr>
          <w:color w:val="000000" w:themeColor="text1"/>
          <w:lang w:val="en-GB"/>
        </w:rPr>
        <w:t>A coordinated promotion of the benefits of working in the sector, stability, and relatively higher salaries is needed, especially given the growing difficulties in attracting workers due to the structural depopulation of rural areas and outdated perceptions of mining work, along with unclear knowledge about the relative salary benefits. This is particularly crucial amidst the increasing interest in working in tourism, despite its seasonality</w:t>
      </w:r>
      <w:r w:rsidR="00A3401C">
        <w:rPr>
          <w:color w:val="000000" w:themeColor="text1"/>
          <w:lang w:val="en-GB"/>
        </w:rPr>
        <w:t>.</w:t>
      </w:r>
    </w:p>
    <w:p w14:paraId="71C9AA90" w14:textId="17A816B2" w:rsidR="00011602" w:rsidRPr="009948CA" w:rsidRDefault="00011602" w:rsidP="009948CA">
      <w:pPr>
        <w:spacing w:after="0" w:line="240" w:lineRule="auto"/>
        <w:rPr>
          <w:color w:val="000000" w:themeColor="text1"/>
          <w:lang w:val="en-GB"/>
        </w:rPr>
      </w:pPr>
    </w:p>
    <w:p w14:paraId="6374CF84" w14:textId="5EB82F35" w:rsidR="00B05026" w:rsidRPr="00594EDF" w:rsidRDefault="0084289E" w:rsidP="00B05026">
      <w:pPr>
        <w:spacing w:after="0" w:line="240" w:lineRule="auto"/>
        <w:rPr>
          <w:b/>
          <w:bCs/>
          <w:color w:val="000000" w:themeColor="text1"/>
          <w:lang w:val="en-GB"/>
        </w:rPr>
      </w:pPr>
      <w:r>
        <w:rPr>
          <w:b/>
          <w:bCs/>
          <w:color w:val="000000" w:themeColor="text1"/>
          <w:lang w:val="en-GB"/>
        </w:rPr>
        <w:t>Permitting and Strategy</w:t>
      </w:r>
      <w:r w:rsidR="00B05026" w:rsidRPr="00594EDF">
        <w:rPr>
          <w:b/>
          <w:bCs/>
          <w:color w:val="000000" w:themeColor="text1"/>
          <w:lang w:val="en-GB"/>
        </w:rPr>
        <w:t>:</w:t>
      </w:r>
    </w:p>
    <w:p w14:paraId="36FE01D6" w14:textId="606203C3" w:rsidR="009948CA" w:rsidRDefault="0084289E" w:rsidP="00B40544">
      <w:pPr>
        <w:pStyle w:val="ListParagraph"/>
        <w:numPr>
          <w:ilvl w:val="0"/>
          <w:numId w:val="12"/>
        </w:numPr>
        <w:spacing w:after="0" w:line="240" w:lineRule="auto"/>
        <w:jc w:val="both"/>
        <w:rPr>
          <w:color w:val="000000" w:themeColor="text1"/>
          <w:lang w:val="en-GB"/>
        </w:rPr>
      </w:pPr>
      <w:r>
        <w:rPr>
          <w:color w:val="000000" w:themeColor="text1"/>
          <w:lang w:val="en-GB"/>
        </w:rPr>
        <w:t xml:space="preserve">A </w:t>
      </w:r>
      <w:r w:rsidR="00B410A8">
        <w:rPr>
          <w:color w:val="000000" w:themeColor="text1"/>
          <w:lang w:val="en-GB"/>
        </w:rPr>
        <w:t xml:space="preserve">long-term </w:t>
      </w:r>
      <w:r>
        <w:rPr>
          <w:color w:val="000000" w:themeColor="text1"/>
          <w:lang w:val="en-GB"/>
        </w:rPr>
        <w:t>na</w:t>
      </w:r>
      <w:r w:rsidR="009948CA">
        <w:rPr>
          <w:color w:val="000000" w:themeColor="text1"/>
          <w:lang w:val="en-GB"/>
        </w:rPr>
        <w:t>tional mineral strategy</w:t>
      </w:r>
      <w:r>
        <w:rPr>
          <w:color w:val="000000" w:themeColor="text1"/>
          <w:lang w:val="en-GB"/>
        </w:rPr>
        <w:t xml:space="preserve"> with </w:t>
      </w:r>
      <w:r w:rsidR="0093067A">
        <w:rPr>
          <w:color w:val="000000" w:themeColor="text1"/>
          <w:lang w:val="en-GB"/>
        </w:rPr>
        <w:t>a</w:t>
      </w:r>
      <w:r>
        <w:rPr>
          <w:color w:val="000000" w:themeColor="text1"/>
          <w:lang w:val="en-GB"/>
        </w:rPr>
        <w:t xml:space="preserve"> promotion campaign is needed to attract investment and create better conditions for innovative and sustainable </w:t>
      </w:r>
      <w:r w:rsidR="0093067A">
        <w:rPr>
          <w:color w:val="000000" w:themeColor="text1"/>
          <w:lang w:val="en-GB"/>
        </w:rPr>
        <w:t xml:space="preserve">mining </w:t>
      </w:r>
      <w:r>
        <w:rPr>
          <w:color w:val="000000" w:themeColor="text1"/>
          <w:lang w:val="en-GB"/>
        </w:rPr>
        <w:t xml:space="preserve">process. </w:t>
      </w:r>
    </w:p>
    <w:p w14:paraId="250DB33E" w14:textId="0C2571A2" w:rsidR="00BE26B0" w:rsidRDefault="00B40544" w:rsidP="00B40544">
      <w:pPr>
        <w:pStyle w:val="ListParagraph"/>
        <w:numPr>
          <w:ilvl w:val="0"/>
          <w:numId w:val="12"/>
        </w:numPr>
        <w:spacing w:after="0" w:line="240" w:lineRule="auto"/>
        <w:jc w:val="both"/>
        <w:rPr>
          <w:color w:val="000000" w:themeColor="text1"/>
          <w:lang w:val="en-GB"/>
        </w:rPr>
      </w:pPr>
      <w:r w:rsidRPr="00B40544">
        <w:rPr>
          <w:color w:val="000000" w:themeColor="text1"/>
          <w:lang w:val="en-GB"/>
        </w:rPr>
        <w:t>The permitting process in mining is unclear and slow, lacking timeframes for approvals. The shortage of skilled staff to analy</w:t>
      </w:r>
      <w:r>
        <w:rPr>
          <w:color w:val="000000" w:themeColor="text1"/>
          <w:lang w:val="en-GB"/>
        </w:rPr>
        <w:t>s</w:t>
      </w:r>
      <w:r w:rsidRPr="00B40544">
        <w:rPr>
          <w:color w:val="000000" w:themeColor="text1"/>
          <w:lang w:val="en-GB"/>
        </w:rPr>
        <w:t>e permits and Environmental Impact Assessments, along with the absence of a formal coordinator role, are two main bottlenecks. Establishing a single contact point with a standardized and digitized permitting procedure can help address the issue</w:t>
      </w:r>
      <w:r w:rsidR="005E6317">
        <w:rPr>
          <w:color w:val="000000" w:themeColor="text1"/>
          <w:lang w:val="en-GB"/>
        </w:rPr>
        <w:t xml:space="preserve">. </w:t>
      </w:r>
    </w:p>
    <w:p w14:paraId="1459025E" w14:textId="77777777" w:rsidR="009948CA" w:rsidRPr="005312CE" w:rsidRDefault="009948CA" w:rsidP="009948CA">
      <w:pPr>
        <w:pStyle w:val="ListParagraph"/>
        <w:spacing w:after="0" w:line="240" w:lineRule="auto"/>
        <w:ind w:left="786"/>
        <w:rPr>
          <w:color w:val="000000" w:themeColor="text1"/>
          <w:lang w:val="en-GB"/>
        </w:rPr>
      </w:pPr>
    </w:p>
    <w:p w14:paraId="555EC72E" w14:textId="303AC878" w:rsidR="00B05026" w:rsidRPr="00594EDF" w:rsidRDefault="00B05026" w:rsidP="00B05026">
      <w:pPr>
        <w:spacing w:after="0" w:line="240" w:lineRule="auto"/>
        <w:rPr>
          <w:b/>
          <w:bCs/>
          <w:color w:val="000000" w:themeColor="text1"/>
          <w:lang w:val="en-GB"/>
        </w:rPr>
      </w:pPr>
      <w:r w:rsidRPr="00594EDF">
        <w:rPr>
          <w:b/>
          <w:bCs/>
          <w:color w:val="000000" w:themeColor="text1"/>
          <w:lang w:val="en-GB"/>
        </w:rPr>
        <w:t>Social perception and community impact:</w:t>
      </w:r>
    </w:p>
    <w:p w14:paraId="417F19B1" w14:textId="77777777" w:rsidR="0055683C" w:rsidRPr="0055683C" w:rsidRDefault="0055683C" w:rsidP="0055683C">
      <w:pPr>
        <w:pStyle w:val="ListParagraph"/>
        <w:numPr>
          <w:ilvl w:val="0"/>
          <w:numId w:val="13"/>
        </w:numPr>
        <w:spacing w:after="0" w:line="240" w:lineRule="auto"/>
        <w:jc w:val="both"/>
        <w:rPr>
          <w:color w:val="000000" w:themeColor="text1"/>
          <w:lang w:val="en-GB"/>
        </w:rPr>
      </w:pPr>
      <w:r w:rsidRPr="0055683C">
        <w:rPr>
          <w:color w:val="000000" w:themeColor="text1"/>
          <w:lang w:val="en-GB"/>
        </w:rPr>
        <w:t>Mining is historically and culturally significant in many towns of Central Greece, leading to local recognition of its importance.</w:t>
      </w:r>
    </w:p>
    <w:p w14:paraId="44097D62" w14:textId="70618906" w:rsidR="0055683C" w:rsidRPr="0055683C" w:rsidRDefault="0055683C" w:rsidP="0055683C">
      <w:pPr>
        <w:pStyle w:val="ListParagraph"/>
        <w:numPr>
          <w:ilvl w:val="0"/>
          <w:numId w:val="13"/>
        </w:numPr>
        <w:spacing w:after="0" w:line="240" w:lineRule="auto"/>
        <w:jc w:val="both"/>
        <w:rPr>
          <w:color w:val="000000" w:themeColor="text1"/>
          <w:lang w:val="en-GB"/>
        </w:rPr>
      </w:pPr>
      <w:r w:rsidRPr="0055683C">
        <w:rPr>
          <w:color w:val="000000" w:themeColor="text1"/>
          <w:lang w:val="en-GB"/>
        </w:rPr>
        <w:t xml:space="preserve">Better involvement of municipalities in decision-making for mining projects </w:t>
      </w:r>
      <w:r w:rsidR="0093067A">
        <w:rPr>
          <w:color w:val="000000" w:themeColor="text1"/>
          <w:lang w:val="en-GB"/>
        </w:rPr>
        <w:t xml:space="preserve">will help </w:t>
      </w:r>
      <w:r w:rsidRPr="0055683C">
        <w:rPr>
          <w:color w:val="000000" w:themeColor="text1"/>
          <w:lang w:val="en-GB"/>
        </w:rPr>
        <w:t xml:space="preserve">improve social perception. Currently, municipalities can provide opinions, but these are not determinative. Additionally, decisions on benefit-sharing agreements in new projects are made at the national level, without </w:t>
      </w:r>
      <w:r w:rsidR="0093067A">
        <w:rPr>
          <w:color w:val="000000" w:themeColor="text1"/>
          <w:lang w:val="en-GB"/>
        </w:rPr>
        <w:t>clarity</w:t>
      </w:r>
      <w:r w:rsidRPr="0055683C">
        <w:rPr>
          <w:color w:val="000000" w:themeColor="text1"/>
          <w:lang w:val="en-GB"/>
        </w:rPr>
        <w:t xml:space="preserve"> for municipal participation.</w:t>
      </w:r>
    </w:p>
    <w:p w14:paraId="6FB0C79E" w14:textId="75B7D854" w:rsidR="00B40544" w:rsidRDefault="0055683C" w:rsidP="0055683C">
      <w:pPr>
        <w:pStyle w:val="ListParagraph"/>
        <w:numPr>
          <w:ilvl w:val="0"/>
          <w:numId w:val="13"/>
        </w:numPr>
        <w:spacing w:after="0" w:line="240" w:lineRule="auto"/>
        <w:jc w:val="both"/>
        <w:rPr>
          <w:color w:val="000000" w:themeColor="text1"/>
          <w:lang w:val="en-GB"/>
        </w:rPr>
      </w:pPr>
      <w:r w:rsidRPr="0055683C">
        <w:rPr>
          <w:color w:val="000000" w:themeColor="text1"/>
          <w:lang w:val="en-GB"/>
        </w:rPr>
        <w:t>Improvement of staff for environmental monitoring of mining operations and at the Institute of Geology &amp; Mineral Exploration for information dissemination regarding mining processes is necessary</w:t>
      </w:r>
      <w:r w:rsidR="00B40544">
        <w:rPr>
          <w:color w:val="000000" w:themeColor="text1"/>
          <w:lang w:val="en-GB"/>
        </w:rPr>
        <w:t xml:space="preserve">. </w:t>
      </w:r>
    </w:p>
    <w:p w14:paraId="12FD391E" w14:textId="77777777" w:rsidR="0055683C" w:rsidRPr="0055683C" w:rsidRDefault="0055683C" w:rsidP="0055683C">
      <w:pPr>
        <w:pStyle w:val="ListParagraph"/>
        <w:numPr>
          <w:ilvl w:val="0"/>
          <w:numId w:val="13"/>
        </w:numPr>
        <w:spacing w:after="0" w:line="240" w:lineRule="auto"/>
        <w:jc w:val="both"/>
        <w:rPr>
          <w:color w:val="000000" w:themeColor="text1"/>
          <w:lang w:val="en-GB"/>
        </w:rPr>
      </w:pPr>
      <w:r w:rsidRPr="0055683C">
        <w:rPr>
          <w:color w:val="000000" w:themeColor="text1"/>
          <w:lang w:val="en-GB"/>
        </w:rPr>
        <w:t>The regional government must adopt a more proactive role in improving information sharing about mining with local communities. This includes communicating the economic and social benefits of projects, as well as the mechanisms to address environmental impacts.</w:t>
      </w:r>
    </w:p>
    <w:p w14:paraId="2113D6A1" w14:textId="603EEC76" w:rsidR="00B05026" w:rsidRPr="00B05026" w:rsidRDefault="0055683C" w:rsidP="0055683C">
      <w:pPr>
        <w:pStyle w:val="ListParagraph"/>
        <w:numPr>
          <w:ilvl w:val="0"/>
          <w:numId w:val="13"/>
        </w:numPr>
        <w:spacing w:after="0" w:line="240" w:lineRule="auto"/>
        <w:jc w:val="both"/>
        <w:rPr>
          <w:color w:val="000000" w:themeColor="text1"/>
          <w:lang w:val="en-GB"/>
        </w:rPr>
      </w:pPr>
      <w:r w:rsidRPr="0055683C">
        <w:rPr>
          <w:color w:val="000000" w:themeColor="text1"/>
          <w:lang w:val="en-GB"/>
        </w:rPr>
        <w:t xml:space="preserve">Rehabilitation of </w:t>
      </w:r>
      <w:r w:rsidR="0093067A">
        <w:rPr>
          <w:color w:val="000000" w:themeColor="text1"/>
          <w:lang w:val="en-GB"/>
        </w:rPr>
        <w:t>abandon</w:t>
      </w:r>
      <w:r w:rsidRPr="0055683C">
        <w:rPr>
          <w:color w:val="000000" w:themeColor="text1"/>
          <w:lang w:val="en-GB"/>
        </w:rPr>
        <w:t xml:space="preserve"> mine </w:t>
      </w:r>
      <w:r w:rsidR="0093067A">
        <w:rPr>
          <w:color w:val="000000" w:themeColor="text1"/>
          <w:lang w:val="en-GB"/>
        </w:rPr>
        <w:t>that are u</w:t>
      </w:r>
      <w:r w:rsidRPr="0055683C">
        <w:rPr>
          <w:color w:val="000000" w:themeColor="text1"/>
          <w:lang w:val="en-GB"/>
        </w:rPr>
        <w:t>nder national government responsibility needs to be addressed, as it impacts social perception and opportunities for municipalities to reuse the land.</w:t>
      </w:r>
      <w:r w:rsidR="00272032">
        <w:rPr>
          <w:color w:val="000000" w:themeColor="text1"/>
          <w:lang w:val="en-GB"/>
        </w:rPr>
        <w:t xml:space="preserve"> </w:t>
      </w:r>
    </w:p>
    <w:p w14:paraId="0D18D489" w14:textId="34D8D73F" w:rsidR="00B05026" w:rsidRPr="00594EDF" w:rsidRDefault="00BE26B0" w:rsidP="00B05026">
      <w:pPr>
        <w:spacing w:after="0" w:line="240" w:lineRule="auto"/>
        <w:rPr>
          <w:b/>
          <w:bCs/>
          <w:color w:val="000000" w:themeColor="text1"/>
          <w:lang w:val="en-GB"/>
        </w:rPr>
      </w:pPr>
      <w:r w:rsidRPr="00594EDF">
        <w:rPr>
          <w:b/>
          <w:bCs/>
          <w:color w:val="000000" w:themeColor="text1"/>
          <w:lang w:val="en-GB"/>
        </w:rPr>
        <w:t>Knowledge production (universities, skills, and innovation)</w:t>
      </w:r>
      <w:r w:rsidR="00594EDF">
        <w:rPr>
          <w:b/>
          <w:bCs/>
          <w:color w:val="000000" w:themeColor="text1"/>
          <w:lang w:val="en-GB"/>
        </w:rPr>
        <w:t>:</w:t>
      </w:r>
    </w:p>
    <w:p w14:paraId="563F1444" w14:textId="7593F5E7" w:rsidR="00B05026" w:rsidRDefault="005312CE" w:rsidP="005312CE">
      <w:pPr>
        <w:pStyle w:val="ListParagraph"/>
        <w:numPr>
          <w:ilvl w:val="0"/>
          <w:numId w:val="9"/>
        </w:numPr>
        <w:spacing w:after="0" w:line="240" w:lineRule="auto"/>
        <w:rPr>
          <w:color w:val="000000" w:themeColor="text1"/>
          <w:lang w:val="en-GB"/>
        </w:rPr>
      </w:pPr>
      <w:r>
        <w:rPr>
          <w:color w:val="000000" w:themeColor="text1"/>
          <w:lang w:val="en-GB"/>
        </w:rPr>
        <w:t>There are o</w:t>
      </w:r>
      <w:r w:rsidR="00B05026">
        <w:rPr>
          <w:color w:val="000000" w:themeColor="text1"/>
          <w:lang w:val="en-GB"/>
        </w:rPr>
        <w:t xml:space="preserve">pportunities at the </w:t>
      </w:r>
      <w:r w:rsidR="00032307">
        <w:rPr>
          <w:color w:val="000000" w:themeColor="text1"/>
          <w:lang w:val="en-GB"/>
        </w:rPr>
        <w:t>tertiary level for technical mining qualifications</w:t>
      </w:r>
      <w:r>
        <w:rPr>
          <w:color w:val="000000" w:themeColor="text1"/>
          <w:lang w:val="en-GB"/>
        </w:rPr>
        <w:t xml:space="preserve"> (engineering etc)</w:t>
      </w:r>
      <w:r w:rsidR="00032307">
        <w:rPr>
          <w:color w:val="000000" w:themeColor="text1"/>
          <w:lang w:val="en-GB"/>
        </w:rPr>
        <w:t>, yet limited programs at the apprentice level for operational roles</w:t>
      </w:r>
      <w:r>
        <w:rPr>
          <w:color w:val="000000" w:themeColor="text1"/>
          <w:lang w:val="en-GB"/>
        </w:rPr>
        <w:t>.</w:t>
      </w:r>
    </w:p>
    <w:p w14:paraId="357CE2A5" w14:textId="3D46556D" w:rsidR="00032307" w:rsidRPr="00BE26B0" w:rsidRDefault="00B40544" w:rsidP="005312CE">
      <w:pPr>
        <w:pStyle w:val="ListParagraph"/>
        <w:numPr>
          <w:ilvl w:val="0"/>
          <w:numId w:val="9"/>
        </w:numPr>
        <w:spacing w:after="0" w:line="240" w:lineRule="auto"/>
        <w:rPr>
          <w:color w:val="000000" w:themeColor="text1"/>
          <w:lang w:val="en-GB"/>
        </w:rPr>
      </w:pPr>
      <w:r>
        <w:rPr>
          <w:color w:val="000000" w:themeColor="text1"/>
          <w:lang w:val="en-GB"/>
        </w:rPr>
        <w:t>Formal</w:t>
      </w:r>
      <w:r w:rsidR="00100DBC">
        <w:rPr>
          <w:color w:val="000000" w:themeColor="text1"/>
          <w:lang w:val="en-GB"/>
        </w:rPr>
        <w:t xml:space="preserve"> collaboration with primary and secondary school to explain the relevance of minerals and modern mining can help trigger students around mining sector. There are siloed approaches to better explain the relevance of minerals in the country, </w:t>
      </w:r>
      <w:proofErr w:type="gramStart"/>
      <w:r w:rsidR="00100DBC">
        <w:rPr>
          <w:color w:val="000000" w:themeColor="text1"/>
          <w:lang w:val="en-GB"/>
        </w:rPr>
        <w:t>e.g.</w:t>
      </w:r>
      <w:proofErr w:type="gramEnd"/>
      <w:r w:rsidR="00100DBC">
        <w:rPr>
          <w:color w:val="000000" w:themeColor="text1"/>
          <w:lang w:val="en-GB"/>
        </w:rPr>
        <w:t xml:space="preserve"> a top-class museum by the </w:t>
      </w:r>
      <w:r w:rsidR="00100DBC" w:rsidRPr="00100DBC">
        <w:rPr>
          <w:color w:val="000000" w:themeColor="text1"/>
          <w:lang w:val="en-GB"/>
        </w:rPr>
        <w:t>Institute of Geology &amp; Mineral Exploration</w:t>
      </w:r>
      <w:r w:rsidR="00100DBC">
        <w:rPr>
          <w:color w:val="000000" w:themeColor="text1"/>
          <w:lang w:val="en-GB"/>
        </w:rPr>
        <w:t xml:space="preserve">. </w:t>
      </w:r>
    </w:p>
    <w:p w14:paraId="18743585" w14:textId="77777777" w:rsidR="0093067A" w:rsidRDefault="0093067A" w:rsidP="00032307">
      <w:pPr>
        <w:spacing w:after="0" w:line="240" w:lineRule="auto"/>
        <w:rPr>
          <w:b/>
          <w:bCs/>
          <w:color w:val="ED7D31" w:themeColor="accent2"/>
          <w:lang w:val="en-GB"/>
        </w:rPr>
      </w:pPr>
    </w:p>
    <w:p w14:paraId="0B65B46F" w14:textId="69024DEC" w:rsidR="00192E25" w:rsidRDefault="00192E25" w:rsidP="00032307">
      <w:pPr>
        <w:spacing w:after="0" w:line="240" w:lineRule="auto"/>
        <w:rPr>
          <w:b/>
          <w:bCs/>
          <w:color w:val="ED7D31" w:themeColor="accent2"/>
          <w:lang w:val="en-GB"/>
        </w:rPr>
      </w:pPr>
      <w:r w:rsidRPr="00192E25">
        <w:rPr>
          <w:b/>
          <w:bCs/>
          <w:color w:val="ED7D31" w:themeColor="accent2"/>
          <w:lang w:val="en-GB"/>
        </w:rPr>
        <w:t>Good practices:</w:t>
      </w:r>
    </w:p>
    <w:p w14:paraId="72E478B5" w14:textId="0C03DD32" w:rsidR="00100DBC" w:rsidRPr="00100DBC" w:rsidRDefault="00100DBC" w:rsidP="00100DBC">
      <w:pPr>
        <w:spacing w:after="0" w:line="240" w:lineRule="auto"/>
        <w:rPr>
          <w:b/>
          <w:bCs/>
          <w:color w:val="000000" w:themeColor="text1"/>
          <w:lang w:val="en-GB"/>
        </w:rPr>
      </w:pPr>
      <w:r w:rsidRPr="00100DBC">
        <w:rPr>
          <w:b/>
          <w:bCs/>
          <w:color w:val="000000" w:themeColor="text1"/>
          <w:lang w:val="en-GB"/>
        </w:rPr>
        <w:t>ESG</w:t>
      </w:r>
    </w:p>
    <w:p w14:paraId="4F356315" w14:textId="71E17F7B" w:rsidR="00192E25" w:rsidRPr="00100DBC" w:rsidRDefault="00192E25" w:rsidP="00192E25">
      <w:pPr>
        <w:pStyle w:val="ListParagraph"/>
        <w:numPr>
          <w:ilvl w:val="0"/>
          <w:numId w:val="8"/>
        </w:numPr>
        <w:spacing w:after="0" w:line="240" w:lineRule="auto"/>
        <w:rPr>
          <w:color w:val="000000" w:themeColor="text1"/>
          <w:lang w:val="en-GB"/>
        </w:rPr>
      </w:pPr>
      <w:proofErr w:type="spellStart"/>
      <w:r w:rsidRPr="00100DBC">
        <w:rPr>
          <w:color w:val="000000" w:themeColor="text1"/>
          <w:lang w:val="en-GB"/>
        </w:rPr>
        <w:t>Mytilineos</w:t>
      </w:r>
      <w:proofErr w:type="spellEnd"/>
      <w:r w:rsidRPr="00100DBC">
        <w:rPr>
          <w:color w:val="000000" w:themeColor="text1"/>
          <w:lang w:val="en-GB"/>
        </w:rPr>
        <w:t xml:space="preserve"> Metals rehabilitation of old mine sites into tourism areas such as historical sites and lakes</w:t>
      </w:r>
      <w:r w:rsidR="00100DBC" w:rsidRPr="00100DBC">
        <w:rPr>
          <w:color w:val="000000" w:themeColor="text1"/>
          <w:lang w:val="en-GB"/>
        </w:rPr>
        <w:t xml:space="preserve"> for forest management</w:t>
      </w:r>
      <w:r w:rsidR="005312CE" w:rsidRPr="00100DBC">
        <w:rPr>
          <w:color w:val="000000" w:themeColor="text1"/>
          <w:lang w:val="en-GB"/>
        </w:rPr>
        <w:t>.</w:t>
      </w:r>
    </w:p>
    <w:p w14:paraId="1F252BB7" w14:textId="19D8830D" w:rsidR="00A145A0" w:rsidRDefault="00A145A0" w:rsidP="00192E25">
      <w:pPr>
        <w:pStyle w:val="ListParagraph"/>
        <w:numPr>
          <w:ilvl w:val="0"/>
          <w:numId w:val="8"/>
        </w:numPr>
        <w:spacing w:after="0" w:line="240" w:lineRule="auto"/>
        <w:rPr>
          <w:color w:val="000000" w:themeColor="text1"/>
          <w:lang w:val="en-GB"/>
        </w:rPr>
      </w:pPr>
      <w:proofErr w:type="spellStart"/>
      <w:r w:rsidRPr="00100DBC">
        <w:rPr>
          <w:color w:val="000000" w:themeColor="text1"/>
          <w:lang w:val="en-GB"/>
        </w:rPr>
        <w:t>Mytilineos</w:t>
      </w:r>
      <w:proofErr w:type="spellEnd"/>
      <w:r w:rsidRPr="00100DBC">
        <w:rPr>
          <w:color w:val="000000" w:themeColor="text1"/>
          <w:lang w:val="en-GB"/>
        </w:rPr>
        <w:t xml:space="preserve"> Metals Engineers in Action program</w:t>
      </w:r>
      <w:r>
        <w:rPr>
          <w:color w:val="000000" w:themeColor="text1"/>
          <w:lang w:val="en-GB"/>
        </w:rPr>
        <w:t xml:space="preserve"> to attract and skill young engineers from across Greece</w:t>
      </w:r>
      <w:r w:rsidR="000D22A4">
        <w:rPr>
          <w:color w:val="000000" w:themeColor="text1"/>
          <w:lang w:val="en-GB"/>
        </w:rPr>
        <w:t>.</w:t>
      </w:r>
      <w:r>
        <w:rPr>
          <w:color w:val="000000" w:themeColor="text1"/>
          <w:lang w:val="en-GB"/>
        </w:rPr>
        <w:t xml:space="preserve"> </w:t>
      </w:r>
    </w:p>
    <w:p w14:paraId="1F797A27" w14:textId="6B2334AC" w:rsidR="00100DBC" w:rsidRPr="00100DBC" w:rsidRDefault="00100DBC" w:rsidP="00100DBC">
      <w:pPr>
        <w:spacing w:after="0" w:line="240" w:lineRule="auto"/>
        <w:rPr>
          <w:b/>
          <w:bCs/>
          <w:color w:val="000000" w:themeColor="text1"/>
          <w:lang w:val="en-GB"/>
        </w:rPr>
      </w:pPr>
      <w:r w:rsidRPr="00100DBC">
        <w:rPr>
          <w:b/>
          <w:bCs/>
          <w:color w:val="000000" w:themeColor="text1"/>
          <w:lang w:val="en-GB"/>
        </w:rPr>
        <w:t xml:space="preserve">Government’s information action </w:t>
      </w:r>
    </w:p>
    <w:p w14:paraId="4284587C" w14:textId="1B958348" w:rsidR="00192E25" w:rsidRPr="00100DBC" w:rsidRDefault="00100DBC" w:rsidP="00192E25">
      <w:pPr>
        <w:pStyle w:val="ListParagraph"/>
        <w:numPr>
          <w:ilvl w:val="0"/>
          <w:numId w:val="8"/>
        </w:numPr>
        <w:spacing w:after="0" w:line="240" w:lineRule="auto"/>
        <w:rPr>
          <w:color w:val="000000" w:themeColor="text1"/>
          <w:lang w:val="en-GB"/>
        </w:rPr>
      </w:pPr>
      <w:r w:rsidRPr="00100DBC">
        <w:rPr>
          <w:color w:val="000000" w:themeColor="text1"/>
          <w:lang w:val="en-GB"/>
        </w:rPr>
        <w:t xml:space="preserve">Institute of Geology &amp; Mineral Exploration </w:t>
      </w:r>
      <w:r w:rsidR="00192E25" w:rsidRPr="00100DBC">
        <w:rPr>
          <w:color w:val="000000" w:themeColor="text1"/>
          <w:lang w:val="en-GB"/>
        </w:rPr>
        <w:t>trust building exercises with local communities including holding regional level consultation to address local concerns</w:t>
      </w:r>
      <w:r w:rsidR="000D22A4" w:rsidRPr="00100DBC">
        <w:rPr>
          <w:color w:val="000000" w:themeColor="text1"/>
          <w:lang w:val="en-GB"/>
        </w:rPr>
        <w:t>.</w:t>
      </w:r>
    </w:p>
    <w:p w14:paraId="6FF3D76D" w14:textId="3CA4277C" w:rsidR="00192E25" w:rsidRPr="00100DBC" w:rsidRDefault="00192E25" w:rsidP="00192E25">
      <w:pPr>
        <w:pStyle w:val="ListParagraph"/>
        <w:numPr>
          <w:ilvl w:val="0"/>
          <w:numId w:val="8"/>
        </w:numPr>
        <w:spacing w:after="0" w:line="240" w:lineRule="auto"/>
        <w:rPr>
          <w:b/>
          <w:bCs/>
          <w:color w:val="000000" w:themeColor="text1"/>
          <w:lang w:val="en-GB"/>
        </w:rPr>
      </w:pPr>
      <w:r w:rsidRPr="00100DBC">
        <w:rPr>
          <w:color w:val="000000" w:themeColor="text1"/>
          <w:lang w:val="en-GB"/>
        </w:rPr>
        <w:t>Hellenic Geological Survey</w:t>
      </w:r>
      <w:r>
        <w:rPr>
          <w:b/>
          <w:bCs/>
          <w:color w:val="000000" w:themeColor="text1"/>
          <w:lang w:val="en-GB"/>
        </w:rPr>
        <w:t xml:space="preserve"> </w:t>
      </w:r>
      <w:r w:rsidR="00230706">
        <w:rPr>
          <w:color w:val="000000" w:themeColor="text1"/>
          <w:lang w:val="en-GB"/>
        </w:rPr>
        <w:t xml:space="preserve">minerals museum to educate young people </w:t>
      </w:r>
      <w:r w:rsidR="000D22A4">
        <w:rPr>
          <w:color w:val="000000" w:themeColor="text1"/>
          <w:lang w:val="en-GB"/>
        </w:rPr>
        <w:t xml:space="preserve">on </w:t>
      </w:r>
      <w:r w:rsidR="00230706">
        <w:rPr>
          <w:color w:val="000000" w:themeColor="text1"/>
          <w:lang w:val="en-GB"/>
        </w:rPr>
        <w:t>metals and minerals and spark interest in the sector</w:t>
      </w:r>
      <w:r w:rsidR="000D22A4">
        <w:rPr>
          <w:color w:val="000000" w:themeColor="text1"/>
          <w:lang w:val="en-GB"/>
        </w:rPr>
        <w:t>.</w:t>
      </w:r>
    </w:p>
    <w:p w14:paraId="22020FC1" w14:textId="5C010E4C" w:rsidR="00100DBC" w:rsidRPr="00100DBC" w:rsidRDefault="00100DBC" w:rsidP="00100DBC">
      <w:pPr>
        <w:spacing w:after="0" w:line="240" w:lineRule="auto"/>
        <w:rPr>
          <w:b/>
          <w:bCs/>
          <w:color w:val="000000" w:themeColor="text1"/>
          <w:lang w:val="en-GB"/>
        </w:rPr>
      </w:pPr>
      <w:r>
        <w:rPr>
          <w:b/>
          <w:bCs/>
          <w:color w:val="000000" w:themeColor="text1"/>
          <w:lang w:val="en-GB"/>
        </w:rPr>
        <w:t xml:space="preserve">The role of </w:t>
      </w:r>
      <w:proofErr w:type="gramStart"/>
      <w:r>
        <w:rPr>
          <w:b/>
          <w:bCs/>
          <w:color w:val="000000" w:themeColor="text1"/>
          <w:lang w:val="en-GB"/>
        </w:rPr>
        <w:t>University</w:t>
      </w:r>
      <w:proofErr w:type="gramEnd"/>
      <w:r>
        <w:rPr>
          <w:b/>
          <w:bCs/>
          <w:color w:val="000000" w:themeColor="text1"/>
          <w:lang w:val="en-GB"/>
        </w:rPr>
        <w:t xml:space="preserve"> </w:t>
      </w:r>
    </w:p>
    <w:p w14:paraId="3B7B4C75" w14:textId="3BFFC185" w:rsidR="00192E25" w:rsidRPr="00100DBC" w:rsidRDefault="00192E25" w:rsidP="00192E25">
      <w:pPr>
        <w:pStyle w:val="ListParagraph"/>
        <w:numPr>
          <w:ilvl w:val="0"/>
          <w:numId w:val="8"/>
        </w:numPr>
        <w:spacing w:after="0" w:line="240" w:lineRule="auto"/>
        <w:rPr>
          <w:b/>
          <w:bCs/>
          <w:color w:val="000000" w:themeColor="text1"/>
          <w:lang w:val="en-GB"/>
        </w:rPr>
      </w:pPr>
      <w:r>
        <w:rPr>
          <w:b/>
          <w:bCs/>
          <w:color w:val="000000" w:themeColor="text1"/>
          <w:lang w:val="en-GB"/>
        </w:rPr>
        <w:t xml:space="preserve">National Technical University of Athens </w:t>
      </w:r>
      <w:r>
        <w:rPr>
          <w:color w:val="000000" w:themeColor="text1"/>
          <w:lang w:val="en-GB"/>
        </w:rPr>
        <w:t>piloting bottom-up innovation projects to involve stakeholders at the grassroots level in innovating for the mining sector</w:t>
      </w:r>
      <w:r w:rsidR="000D22A4">
        <w:rPr>
          <w:color w:val="000000" w:themeColor="text1"/>
          <w:lang w:val="en-GB"/>
        </w:rPr>
        <w:t>.</w:t>
      </w:r>
    </w:p>
    <w:p w14:paraId="02F8EAE2" w14:textId="716525D3" w:rsidR="00100DBC" w:rsidRPr="00100DBC" w:rsidRDefault="00100DBC" w:rsidP="00100DBC">
      <w:pPr>
        <w:spacing w:after="0" w:line="240" w:lineRule="auto"/>
        <w:rPr>
          <w:b/>
          <w:bCs/>
          <w:color w:val="000000" w:themeColor="text1"/>
          <w:lang w:val="en-GB"/>
        </w:rPr>
      </w:pPr>
      <w:r>
        <w:rPr>
          <w:b/>
          <w:bCs/>
          <w:color w:val="000000" w:themeColor="text1"/>
          <w:lang w:val="en-GB"/>
        </w:rPr>
        <w:t>Region and local governments</w:t>
      </w:r>
    </w:p>
    <w:p w14:paraId="0E4E0B2C" w14:textId="08B2DEFB" w:rsidR="00192E25" w:rsidRPr="0093067A" w:rsidRDefault="00192E25" w:rsidP="00032307">
      <w:pPr>
        <w:pStyle w:val="ListParagraph"/>
        <w:numPr>
          <w:ilvl w:val="0"/>
          <w:numId w:val="8"/>
        </w:numPr>
        <w:spacing w:after="0" w:line="240" w:lineRule="auto"/>
        <w:rPr>
          <w:b/>
          <w:bCs/>
          <w:color w:val="000000" w:themeColor="text1"/>
          <w:lang w:val="en-GB"/>
        </w:rPr>
      </w:pPr>
      <w:r>
        <w:rPr>
          <w:b/>
          <w:bCs/>
          <w:color w:val="000000" w:themeColor="text1"/>
          <w:lang w:val="en-GB"/>
        </w:rPr>
        <w:t xml:space="preserve">Regional Government of </w:t>
      </w:r>
      <w:proofErr w:type="spellStart"/>
      <w:r>
        <w:rPr>
          <w:b/>
          <w:bCs/>
          <w:color w:val="000000" w:themeColor="text1"/>
          <w:lang w:val="en-GB"/>
        </w:rPr>
        <w:t>Fokida</w:t>
      </w:r>
      <w:proofErr w:type="spellEnd"/>
      <w:r>
        <w:rPr>
          <w:b/>
          <w:bCs/>
          <w:color w:val="000000" w:themeColor="text1"/>
          <w:lang w:val="en-GB"/>
        </w:rPr>
        <w:t xml:space="preserve"> </w:t>
      </w:r>
      <w:r>
        <w:rPr>
          <w:color w:val="000000" w:themeColor="text1"/>
          <w:lang w:val="en-GB"/>
        </w:rPr>
        <w:t xml:space="preserve">purchased historical buildings to </w:t>
      </w:r>
      <w:r w:rsidR="00230706">
        <w:rPr>
          <w:color w:val="000000" w:themeColor="text1"/>
          <w:lang w:val="en-GB"/>
        </w:rPr>
        <w:t>reuse as a museum to attract tourism to the area</w:t>
      </w:r>
      <w:r w:rsidR="000D22A4">
        <w:rPr>
          <w:color w:val="000000" w:themeColor="text1"/>
          <w:lang w:val="en-GB"/>
        </w:rPr>
        <w:t>.</w:t>
      </w:r>
    </w:p>
    <w:sectPr w:rsidR="00192E25" w:rsidRPr="0093067A" w:rsidSect="00A145A0">
      <w:head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19F2" w14:textId="77777777" w:rsidR="00842AA6" w:rsidRDefault="00842AA6" w:rsidP="00140550">
      <w:pPr>
        <w:spacing w:after="0" w:line="240" w:lineRule="auto"/>
      </w:pPr>
      <w:r>
        <w:separator/>
      </w:r>
    </w:p>
  </w:endnote>
  <w:endnote w:type="continuationSeparator" w:id="0">
    <w:p w14:paraId="4F424957" w14:textId="77777777" w:rsidR="00842AA6" w:rsidRDefault="00842AA6" w:rsidP="0014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4CE4" w14:textId="77777777" w:rsidR="00842AA6" w:rsidRDefault="00842AA6" w:rsidP="00140550">
      <w:pPr>
        <w:spacing w:after="0" w:line="240" w:lineRule="auto"/>
      </w:pPr>
      <w:r>
        <w:separator/>
      </w:r>
    </w:p>
  </w:footnote>
  <w:footnote w:type="continuationSeparator" w:id="0">
    <w:p w14:paraId="7D4FE5C3" w14:textId="77777777" w:rsidR="00842AA6" w:rsidRDefault="00842AA6" w:rsidP="0014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02D0" w14:textId="296C5925" w:rsidR="00140550" w:rsidRDefault="00140550">
    <w:pPr>
      <w:pStyle w:val="Header"/>
    </w:pPr>
    <w:r>
      <w:rPr>
        <w:noProof/>
      </w:rPr>
      <w:drawing>
        <wp:anchor distT="0" distB="0" distL="114300" distR="114300" simplePos="0" relativeHeight="251659264" behindDoc="1" locked="0" layoutInCell="1" allowOverlap="1" wp14:anchorId="5BF4E55C" wp14:editId="7C0D686F">
          <wp:simplePos x="0" y="0"/>
          <wp:positionH relativeFrom="page">
            <wp:posOffset>6985</wp:posOffset>
          </wp:positionH>
          <wp:positionV relativeFrom="paragraph">
            <wp:posOffset>-445135</wp:posOffset>
          </wp:positionV>
          <wp:extent cx="8166100" cy="793750"/>
          <wp:effectExtent l="0" t="0" r="6350" b="6350"/>
          <wp:wrapTight wrapText="bothSides">
            <wp:wrapPolygon edited="0">
              <wp:start x="0" y="0"/>
              <wp:lineTo x="0" y="21254"/>
              <wp:lineTo x="21566" y="21254"/>
              <wp:lineTo x="215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13336" t="15698" r="10885" b="16323"/>
                  <a:stretch/>
                </pic:blipFill>
                <pic:spPr bwMode="auto">
                  <a:xfrm>
                    <a:off x="0" y="0"/>
                    <a:ext cx="8166100"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6EC765E" wp14:editId="5AF4CA9A">
          <wp:simplePos x="0" y="0"/>
          <wp:positionH relativeFrom="page">
            <wp:posOffset>1772285</wp:posOffset>
          </wp:positionH>
          <wp:positionV relativeFrom="paragraph">
            <wp:posOffset>-451485</wp:posOffset>
          </wp:positionV>
          <wp:extent cx="4953635" cy="793750"/>
          <wp:effectExtent l="0" t="0" r="0" b="6350"/>
          <wp:wrapTight wrapText="bothSides">
            <wp:wrapPolygon edited="0">
              <wp:start x="0" y="0"/>
              <wp:lineTo x="0" y="21254"/>
              <wp:lineTo x="21514" y="21254"/>
              <wp:lineTo x="21514" y="0"/>
              <wp:lineTo x="0" y="0"/>
            </wp:wrapPolygon>
          </wp:wrapTight>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13336" t="15698" r="10885" b="16323"/>
                  <a:stretch/>
                </pic:blipFill>
                <pic:spPr bwMode="auto">
                  <a:xfrm>
                    <a:off x="0" y="0"/>
                    <a:ext cx="495363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8A"/>
    <w:multiLevelType w:val="hybridMultilevel"/>
    <w:tmpl w:val="31747F88"/>
    <w:lvl w:ilvl="0" w:tplc="08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0BAC6AD6"/>
    <w:multiLevelType w:val="hybridMultilevel"/>
    <w:tmpl w:val="A4E2EB36"/>
    <w:lvl w:ilvl="0" w:tplc="1BE6BED6">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12CB"/>
    <w:multiLevelType w:val="hybridMultilevel"/>
    <w:tmpl w:val="3BA21BE2"/>
    <w:lvl w:ilvl="0" w:tplc="D46AA48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A5166"/>
    <w:multiLevelType w:val="hybridMultilevel"/>
    <w:tmpl w:val="596886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61D20"/>
    <w:multiLevelType w:val="hybridMultilevel"/>
    <w:tmpl w:val="AAE83A9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53F5A"/>
    <w:multiLevelType w:val="hybridMultilevel"/>
    <w:tmpl w:val="FC944758"/>
    <w:lvl w:ilvl="0" w:tplc="08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6" w15:restartNumberingAfterBreak="0">
    <w:nsid w:val="42E62116"/>
    <w:multiLevelType w:val="hybridMultilevel"/>
    <w:tmpl w:val="DD06C64A"/>
    <w:lvl w:ilvl="0" w:tplc="B9CC4DA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245CF"/>
    <w:multiLevelType w:val="hybridMultilevel"/>
    <w:tmpl w:val="B9C8C5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9EE7977"/>
    <w:multiLevelType w:val="hybridMultilevel"/>
    <w:tmpl w:val="C5D29C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224494"/>
    <w:multiLevelType w:val="hybridMultilevel"/>
    <w:tmpl w:val="8D60FFE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C732C5"/>
    <w:multiLevelType w:val="hybridMultilevel"/>
    <w:tmpl w:val="F8F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A7010"/>
    <w:multiLevelType w:val="hybridMultilevel"/>
    <w:tmpl w:val="350C57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86F4E"/>
    <w:multiLevelType w:val="hybridMultilevel"/>
    <w:tmpl w:val="0030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24732"/>
    <w:multiLevelType w:val="hybridMultilevel"/>
    <w:tmpl w:val="8460D7D4"/>
    <w:lvl w:ilvl="0" w:tplc="23EEDB82">
      <w:start w:val="1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5659063">
    <w:abstractNumId w:val="13"/>
  </w:num>
  <w:num w:numId="2" w16cid:durableId="1163936944">
    <w:abstractNumId w:val="6"/>
  </w:num>
  <w:num w:numId="3" w16cid:durableId="776103249">
    <w:abstractNumId w:val="1"/>
  </w:num>
  <w:num w:numId="4" w16cid:durableId="273942714">
    <w:abstractNumId w:val="2"/>
  </w:num>
  <w:num w:numId="5" w16cid:durableId="1733960749">
    <w:abstractNumId w:val="11"/>
  </w:num>
  <w:num w:numId="6" w16cid:durableId="1375808903">
    <w:abstractNumId w:val="4"/>
  </w:num>
  <w:num w:numId="7" w16cid:durableId="787816904">
    <w:abstractNumId w:val="3"/>
  </w:num>
  <w:num w:numId="8" w16cid:durableId="81755721">
    <w:abstractNumId w:val="12"/>
  </w:num>
  <w:num w:numId="9" w16cid:durableId="1739741720">
    <w:abstractNumId w:val="0"/>
  </w:num>
  <w:num w:numId="10" w16cid:durableId="574707049">
    <w:abstractNumId w:val="8"/>
  </w:num>
  <w:num w:numId="11" w16cid:durableId="674916804">
    <w:abstractNumId w:val="9"/>
  </w:num>
  <w:num w:numId="12" w16cid:durableId="1006591787">
    <w:abstractNumId w:val="7"/>
  </w:num>
  <w:num w:numId="13" w16cid:durableId="435295489">
    <w:abstractNumId w:val="5"/>
  </w:num>
  <w:num w:numId="14" w16cid:durableId="135030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9058B7A91167723E4FC5FFCC57C1B71B2F2C070E9A94B439EA98C654E6599C90"/>
  </w:docVars>
  <w:rsids>
    <w:rsidRoot w:val="00B05026"/>
    <w:rsid w:val="00011602"/>
    <w:rsid w:val="00016563"/>
    <w:rsid w:val="00032307"/>
    <w:rsid w:val="00041AF9"/>
    <w:rsid w:val="000D22A4"/>
    <w:rsid w:val="000D2877"/>
    <w:rsid w:val="00100DBC"/>
    <w:rsid w:val="00134F77"/>
    <w:rsid w:val="00140550"/>
    <w:rsid w:val="00186551"/>
    <w:rsid w:val="00192E25"/>
    <w:rsid w:val="00230706"/>
    <w:rsid w:val="00272032"/>
    <w:rsid w:val="00382F18"/>
    <w:rsid w:val="003F4C86"/>
    <w:rsid w:val="004A084D"/>
    <w:rsid w:val="004E574C"/>
    <w:rsid w:val="005312CE"/>
    <w:rsid w:val="00552003"/>
    <w:rsid w:val="0055683C"/>
    <w:rsid w:val="00594EDF"/>
    <w:rsid w:val="005E6317"/>
    <w:rsid w:val="00716484"/>
    <w:rsid w:val="00810313"/>
    <w:rsid w:val="0084289E"/>
    <w:rsid w:val="00842AA6"/>
    <w:rsid w:val="00867A5A"/>
    <w:rsid w:val="00871045"/>
    <w:rsid w:val="0093067A"/>
    <w:rsid w:val="00983093"/>
    <w:rsid w:val="00985978"/>
    <w:rsid w:val="009948CA"/>
    <w:rsid w:val="00997B72"/>
    <w:rsid w:val="009E44BC"/>
    <w:rsid w:val="00A145A0"/>
    <w:rsid w:val="00A3401C"/>
    <w:rsid w:val="00A645E2"/>
    <w:rsid w:val="00AB3ADD"/>
    <w:rsid w:val="00B05026"/>
    <w:rsid w:val="00B40544"/>
    <w:rsid w:val="00B410A8"/>
    <w:rsid w:val="00B56864"/>
    <w:rsid w:val="00B87149"/>
    <w:rsid w:val="00BB78A6"/>
    <w:rsid w:val="00BE26B0"/>
    <w:rsid w:val="00C25695"/>
    <w:rsid w:val="00CC6685"/>
    <w:rsid w:val="00CD0E55"/>
    <w:rsid w:val="00D868DD"/>
    <w:rsid w:val="00DE7D3C"/>
    <w:rsid w:val="00E505F7"/>
    <w:rsid w:val="00E92A2D"/>
    <w:rsid w:val="00E95470"/>
    <w:rsid w:val="00E961BF"/>
    <w:rsid w:val="00ED3279"/>
    <w:rsid w:val="00FA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78E2"/>
  <w15:docId w15:val="{5C1B4B9E-464C-4B47-A2AF-4698E9E1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26"/>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26"/>
    <w:pPr>
      <w:ind w:left="720"/>
      <w:contextualSpacing/>
    </w:pPr>
  </w:style>
  <w:style w:type="table" w:styleId="TableGrid">
    <w:name w:val="Table Grid"/>
    <w:basedOn w:val="TableNormal"/>
    <w:uiPriority w:val="39"/>
    <w:rsid w:val="0003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50"/>
    <w:rPr>
      <w:sz w:val="22"/>
      <w:szCs w:val="22"/>
      <w:lang w:val="es-ES"/>
    </w:rPr>
  </w:style>
  <w:style w:type="paragraph" w:styleId="Footer">
    <w:name w:val="footer"/>
    <w:basedOn w:val="Normal"/>
    <w:link w:val="FooterChar"/>
    <w:uiPriority w:val="99"/>
    <w:unhideWhenUsed/>
    <w:rsid w:val="00140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50"/>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08919">
      <w:bodyDiv w:val="1"/>
      <w:marLeft w:val="0"/>
      <w:marRight w:val="0"/>
      <w:marTop w:val="0"/>
      <w:marBottom w:val="0"/>
      <w:divBdr>
        <w:top w:val="none" w:sz="0" w:space="0" w:color="auto"/>
        <w:left w:val="none" w:sz="0" w:space="0" w:color="auto"/>
        <w:bottom w:val="none" w:sz="0" w:space="0" w:color="auto"/>
        <w:right w:val="none" w:sz="0" w:space="0" w:color="auto"/>
      </w:divBdr>
    </w:div>
    <w:div w:id="1171026184">
      <w:bodyDiv w:val="1"/>
      <w:marLeft w:val="0"/>
      <w:marRight w:val="0"/>
      <w:marTop w:val="0"/>
      <w:marBottom w:val="0"/>
      <w:divBdr>
        <w:top w:val="none" w:sz="0" w:space="0" w:color="auto"/>
        <w:left w:val="none" w:sz="0" w:space="0" w:color="auto"/>
        <w:bottom w:val="none" w:sz="0" w:space="0" w:color="auto"/>
        <w:right w:val="none" w:sz="0" w:space="0" w:color="auto"/>
      </w:divBdr>
    </w:div>
    <w:div w:id="1983269056">
      <w:bodyDiv w:val="1"/>
      <w:marLeft w:val="0"/>
      <w:marRight w:val="0"/>
      <w:marTop w:val="0"/>
      <w:marBottom w:val="0"/>
      <w:divBdr>
        <w:top w:val="none" w:sz="0" w:space="0" w:color="auto"/>
        <w:left w:val="none" w:sz="0" w:space="0" w:color="auto"/>
        <w:bottom w:val="none" w:sz="0" w:space="0" w:color="auto"/>
        <w:right w:val="none" w:sz="0" w:space="0" w:color="auto"/>
      </w:divBdr>
    </w:div>
    <w:div w:id="211054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908</Words>
  <Characters>5495</Characters>
  <Application>Microsoft Office Word</Application>
  <DocSecurity>0</DocSecurity>
  <Lines>122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Donovan</dc:creator>
  <cp:keywords/>
  <dc:description/>
  <cp:lastModifiedBy>SANABRIA Andres, CFE/RDG</cp:lastModifiedBy>
  <cp:revision>3</cp:revision>
  <dcterms:created xsi:type="dcterms:W3CDTF">2024-02-24T18:33:00Z</dcterms:created>
  <dcterms:modified xsi:type="dcterms:W3CDTF">2024-02-27T00:26:00Z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9058B7A91167723E4FC5FFCC57C1B71B2F2C070E9A94B439EA98C654E6599C90</vt:lpwstr>
  </property>
  <property fmtid="{D5CDD505-2E9C-101B-9397-08002B2CF9AE}" pid="3" name="OecdDocumentCoteLangHash">
    <vt:lpwstr/>
  </property>
</Properties>
</file>