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7B5D" w14:textId="22805CED" w:rsidR="00AA7DA7" w:rsidRDefault="00AA7DA7" w:rsidP="00AA7DA7">
      <w:pPr>
        <w:spacing w:line="360" w:lineRule="auto"/>
        <w:jc w:val="center"/>
        <w:rPr>
          <w:b/>
          <w:bCs/>
          <w:color w:val="002060"/>
          <w:sz w:val="28"/>
          <w:szCs w:val="28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9CA3DA7" wp14:editId="3DBFA512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5230" cy="1650994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5455"/>
                    <a:stretch/>
                  </pic:blipFill>
                  <pic:spPr bwMode="auto">
                    <a:xfrm>
                      <a:off x="0" y="0"/>
                      <a:ext cx="7555230" cy="16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CF8DC" w14:textId="671B07B5" w:rsidR="00AA7DA7" w:rsidRDefault="00AA7DA7" w:rsidP="00AA7DA7">
      <w:pPr>
        <w:jc w:val="center"/>
        <w:rPr>
          <w:b/>
          <w:bCs/>
          <w:color w:val="002060"/>
          <w:sz w:val="36"/>
          <w:szCs w:val="36"/>
        </w:rPr>
      </w:pPr>
    </w:p>
    <w:p w14:paraId="4DF2F61C" w14:textId="77777777" w:rsidR="00AA7DA7" w:rsidRPr="00BD319A" w:rsidRDefault="00AA7DA7" w:rsidP="00AA7DA7">
      <w:pPr>
        <w:jc w:val="center"/>
        <w:rPr>
          <w:b/>
          <w:bCs/>
          <w:color w:val="002060"/>
          <w:sz w:val="16"/>
          <w:szCs w:val="16"/>
        </w:rPr>
      </w:pPr>
    </w:p>
    <w:p w14:paraId="6116EF15" w14:textId="5974AC59" w:rsidR="00A63DF1" w:rsidRPr="00A45306" w:rsidRDefault="00A45306" w:rsidP="007619A6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A45306">
        <w:rPr>
          <w:b/>
          <w:bCs/>
          <w:color w:val="002060"/>
          <w:sz w:val="32"/>
          <w:szCs w:val="32"/>
        </w:rPr>
        <w:t xml:space="preserve">Takeaways of the OECD mission to </w:t>
      </w:r>
      <w:r w:rsidR="00C50AF1">
        <w:rPr>
          <w:b/>
          <w:bCs/>
          <w:color w:val="002060"/>
          <w:sz w:val="32"/>
          <w:szCs w:val="32"/>
        </w:rPr>
        <w:t>Orebro, Sweden</w:t>
      </w:r>
    </w:p>
    <w:p w14:paraId="192EADC2" w14:textId="2481503B" w:rsidR="00AA7DA7" w:rsidRPr="00A63DF1" w:rsidRDefault="001431C9" w:rsidP="007619A6">
      <w:pPr>
        <w:spacing w:after="0"/>
        <w:jc w:val="center"/>
        <w:rPr>
          <w:color w:val="002060"/>
          <w:sz w:val="28"/>
          <w:szCs w:val="28"/>
        </w:rPr>
      </w:pPr>
      <w:r w:rsidRPr="00AA7DA7">
        <w:rPr>
          <w:color w:val="002060"/>
          <w:sz w:val="28"/>
          <w:szCs w:val="28"/>
          <w:lang w:val="en-US"/>
        </w:rPr>
        <w:t xml:space="preserve">TSI OECD-DG REFORM </w:t>
      </w:r>
      <w:r w:rsidR="00A63DF1" w:rsidRPr="00AA7DA7">
        <w:rPr>
          <w:color w:val="002060"/>
          <w:sz w:val="28"/>
          <w:szCs w:val="28"/>
          <w:lang w:val="en-US"/>
        </w:rPr>
        <w:t xml:space="preserve">project </w:t>
      </w:r>
      <w:r w:rsidR="00A63DF1">
        <w:rPr>
          <w:color w:val="002060"/>
          <w:sz w:val="28"/>
          <w:szCs w:val="28"/>
          <w:lang w:val="en-US"/>
        </w:rPr>
        <w:t>–</w:t>
      </w:r>
      <w:r w:rsidR="00570626">
        <w:rPr>
          <w:color w:val="002060"/>
          <w:sz w:val="28"/>
          <w:szCs w:val="28"/>
          <w:lang w:val="en-US"/>
        </w:rPr>
        <w:t xml:space="preserve"> </w:t>
      </w:r>
      <w:r w:rsidR="00415720">
        <w:rPr>
          <w:color w:val="002060"/>
          <w:sz w:val="28"/>
          <w:szCs w:val="28"/>
          <w:lang w:val="en-US"/>
        </w:rPr>
        <w:t xml:space="preserve">April </w:t>
      </w:r>
      <w:r w:rsidR="001E7C8F">
        <w:rPr>
          <w:color w:val="002060"/>
          <w:sz w:val="28"/>
          <w:szCs w:val="28"/>
          <w:lang w:val="en-US"/>
        </w:rPr>
        <w:t>22</w:t>
      </w:r>
      <w:r w:rsidR="00E564F8">
        <w:rPr>
          <w:color w:val="002060"/>
          <w:sz w:val="28"/>
          <w:szCs w:val="28"/>
          <w:lang w:val="en-US"/>
        </w:rPr>
        <w:t xml:space="preserve"> </w:t>
      </w:r>
      <w:r w:rsidR="00570626">
        <w:rPr>
          <w:color w:val="002060"/>
          <w:sz w:val="28"/>
          <w:szCs w:val="28"/>
          <w:lang w:val="en-US"/>
        </w:rPr>
        <w:t xml:space="preserve">to </w:t>
      </w:r>
      <w:r w:rsidR="001E7C8F">
        <w:rPr>
          <w:color w:val="002060"/>
          <w:sz w:val="28"/>
          <w:szCs w:val="28"/>
          <w:lang w:val="en-US"/>
        </w:rPr>
        <w:t>25</w:t>
      </w:r>
      <w:r w:rsidR="00281EF2">
        <w:rPr>
          <w:color w:val="002060"/>
          <w:sz w:val="28"/>
          <w:szCs w:val="28"/>
          <w:lang w:val="en-US"/>
        </w:rPr>
        <w:t xml:space="preserve"> </w:t>
      </w:r>
    </w:p>
    <w:p w14:paraId="6E7368D0" w14:textId="77777777" w:rsidR="007E317C" w:rsidRDefault="007E317C" w:rsidP="00AA7DA7">
      <w:pPr>
        <w:spacing w:line="360" w:lineRule="auto"/>
        <w:jc w:val="both"/>
        <w:rPr>
          <w:rFonts w:ascii="Arial" w:hAnsi="Arial" w:cs="Arial"/>
          <w:b/>
          <w:bCs/>
          <w:color w:val="002060"/>
          <w:u w:val="single"/>
          <w:lang w:eastAsia="es-ES"/>
        </w:rPr>
      </w:pPr>
    </w:p>
    <w:p w14:paraId="52CACAB8" w14:textId="151C0188" w:rsidR="00814F54" w:rsidRPr="00304316" w:rsidRDefault="00A45306" w:rsidP="007E317C">
      <w:pPr>
        <w:spacing w:after="80" w:line="360" w:lineRule="auto"/>
        <w:jc w:val="both"/>
        <w:rPr>
          <w:rFonts w:ascii="Arial" w:hAnsi="Arial" w:cs="Arial"/>
          <w:b/>
          <w:bCs/>
          <w:color w:val="002060"/>
          <w:u w:val="single"/>
          <w:lang w:eastAsia="es-ES"/>
        </w:rPr>
      </w:pPr>
      <w:r>
        <w:rPr>
          <w:rFonts w:ascii="Arial" w:hAnsi="Arial" w:cs="Arial"/>
          <w:b/>
          <w:bCs/>
          <w:color w:val="002060"/>
          <w:u w:val="single"/>
          <w:lang w:eastAsia="es-ES"/>
        </w:rPr>
        <w:t>Introduction</w:t>
      </w:r>
    </w:p>
    <w:p w14:paraId="3E1E1BFC" w14:textId="180D46D7" w:rsidR="00A45306" w:rsidRPr="00A45306" w:rsidRDefault="00014CC7" w:rsidP="001431C9">
      <w:pPr>
        <w:jc w:val="both"/>
        <w:rPr>
          <w:color w:val="000000" w:themeColor="text1"/>
          <w:kern w:val="2"/>
          <w14:ligatures w14:val="standardContextual"/>
        </w:rPr>
      </w:pPr>
      <w:r w:rsidRPr="00014CC7">
        <w:rPr>
          <w:color w:val="000000" w:themeColor="text1"/>
          <w:kern w:val="2"/>
          <w14:ligatures w14:val="standardContextual"/>
        </w:rPr>
        <w:t>The OECD</w:t>
      </w:r>
      <w:r w:rsidR="002E064E">
        <w:rPr>
          <w:color w:val="000000" w:themeColor="text1"/>
          <w:kern w:val="2"/>
          <w14:ligatures w14:val="standardContextual"/>
        </w:rPr>
        <w:t xml:space="preserve"> </w:t>
      </w:r>
      <w:r w:rsidRPr="00014CC7">
        <w:rPr>
          <w:color w:val="000000" w:themeColor="text1"/>
          <w:kern w:val="2"/>
          <w14:ligatures w14:val="standardContextual"/>
        </w:rPr>
        <w:t>study mission to</w:t>
      </w:r>
      <w:r w:rsidR="005B5F3D">
        <w:rPr>
          <w:color w:val="000000" w:themeColor="text1"/>
          <w:kern w:val="2"/>
          <w14:ligatures w14:val="standardContextual"/>
        </w:rPr>
        <w:t xml:space="preserve"> Orebro</w:t>
      </w:r>
      <w:r w:rsidR="00415720">
        <w:rPr>
          <w:color w:val="000000" w:themeColor="text1"/>
          <w:kern w:val="2"/>
          <w14:ligatures w14:val="standardContextual"/>
        </w:rPr>
        <w:t xml:space="preserve"> </w:t>
      </w:r>
      <w:r w:rsidRPr="00014CC7">
        <w:rPr>
          <w:color w:val="000000" w:themeColor="text1"/>
          <w:kern w:val="2"/>
          <w14:ligatures w14:val="standardContextual"/>
        </w:rPr>
        <w:t>region</w:t>
      </w:r>
      <w:r w:rsidR="002E064E">
        <w:rPr>
          <w:color w:val="000000" w:themeColor="text1"/>
          <w:kern w:val="2"/>
          <w14:ligatures w14:val="standardContextual"/>
        </w:rPr>
        <w:t xml:space="preserve">, </w:t>
      </w:r>
      <w:r w:rsidR="005B5F3D">
        <w:rPr>
          <w:color w:val="000000" w:themeColor="text1"/>
          <w:kern w:val="2"/>
          <w14:ligatures w14:val="standardContextual"/>
        </w:rPr>
        <w:t>Sweden</w:t>
      </w:r>
      <w:r w:rsidR="002E064E">
        <w:rPr>
          <w:color w:val="000000" w:themeColor="text1"/>
          <w:kern w:val="2"/>
          <w14:ligatures w14:val="standardContextual"/>
        </w:rPr>
        <w:t xml:space="preserve"> took place</w:t>
      </w:r>
      <w:r w:rsidRPr="00014CC7">
        <w:rPr>
          <w:color w:val="000000" w:themeColor="text1"/>
          <w:kern w:val="2"/>
          <w14:ligatures w14:val="standardContextual"/>
        </w:rPr>
        <w:t xml:space="preserve"> from </w:t>
      </w:r>
      <w:r w:rsidR="001E7C8F">
        <w:rPr>
          <w:color w:val="000000" w:themeColor="text1"/>
          <w:kern w:val="2"/>
          <w14:ligatures w14:val="standardContextual"/>
        </w:rPr>
        <w:t>22</w:t>
      </w:r>
      <w:r w:rsidR="00415720">
        <w:rPr>
          <w:color w:val="000000" w:themeColor="text1"/>
          <w:kern w:val="2"/>
          <w14:ligatures w14:val="standardContextual"/>
        </w:rPr>
        <w:t xml:space="preserve"> </w:t>
      </w:r>
      <w:r w:rsidRPr="00014CC7">
        <w:rPr>
          <w:color w:val="000000" w:themeColor="text1"/>
          <w:kern w:val="2"/>
          <w14:ligatures w14:val="standardContextual"/>
        </w:rPr>
        <w:t xml:space="preserve">to </w:t>
      </w:r>
      <w:r w:rsidR="001E7C8F">
        <w:rPr>
          <w:color w:val="000000" w:themeColor="text1"/>
          <w:kern w:val="2"/>
          <w14:ligatures w14:val="standardContextual"/>
        </w:rPr>
        <w:t>25</w:t>
      </w:r>
      <w:r w:rsidR="005B5F3D">
        <w:rPr>
          <w:color w:val="000000" w:themeColor="text1"/>
          <w:kern w:val="2"/>
          <w14:ligatures w14:val="standardContextual"/>
        </w:rPr>
        <w:t xml:space="preserve"> </w:t>
      </w:r>
      <w:r w:rsidR="00415720">
        <w:rPr>
          <w:color w:val="000000" w:themeColor="text1"/>
          <w:kern w:val="2"/>
          <w14:ligatures w14:val="standardContextual"/>
        </w:rPr>
        <w:t>April</w:t>
      </w:r>
      <w:r w:rsidRPr="00014CC7">
        <w:rPr>
          <w:color w:val="000000" w:themeColor="text1"/>
          <w:kern w:val="2"/>
          <w14:ligatures w14:val="standardContextual"/>
        </w:rPr>
        <w:t xml:space="preserve"> 2024. This</w:t>
      </w:r>
      <w:r w:rsidR="002E064E">
        <w:rPr>
          <w:color w:val="000000" w:themeColor="text1"/>
          <w:kern w:val="2"/>
          <w14:ligatures w14:val="standardContextual"/>
        </w:rPr>
        <w:t xml:space="preserve"> visit allowed for </w:t>
      </w:r>
      <w:r w:rsidRPr="00014CC7">
        <w:rPr>
          <w:color w:val="000000" w:themeColor="text1"/>
          <w:kern w:val="2"/>
          <w14:ligatures w14:val="standardContextual"/>
        </w:rPr>
        <w:t xml:space="preserve">a series of discussions </w:t>
      </w:r>
      <w:r w:rsidR="00415720">
        <w:rPr>
          <w:color w:val="000000" w:themeColor="text1"/>
          <w:kern w:val="2"/>
          <w14:ligatures w14:val="standardContextual"/>
        </w:rPr>
        <w:t xml:space="preserve">in </w:t>
      </w:r>
      <w:r w:rsidR="00DC267E">
        <w:rPr>
          <w:color w:val="000000" w:themeColor="text1"/>
          <w:kern w:val="2"/>
          <w14:ligatures w14:val="standardContextual"/>
        </w:rPr>
        <w:t>five</w:t>
      </w:r>
      <w:r w:rsidR="00415720">
        <w:rPr>
          <w:color w:val="000000" w:themeColor="text1"/>
          <w:kern w:val="2"/>
          <w14:ligatures w14:val="standardContextual"/>
        </w:rPr>
        <w:t xml:space="preserve"> municipalities, including the capital of the region, </w:t>
      </w:r>
      <w:r w:rsidRPr="00014CC7">
        <w:rPr>
          <w:color w:val="000000" w:themeColor="text1"/>
          <w:kern w:val="2"/>
          <w14:ligatures w14:val="standardContextual"/>
        </w:rPr>
        <w:t>with diverse regional stakeholders ranging from regional to municipal government representatives</w:t>
      </w:r>
      <w:r w:rsidR="002E064E">
        <w:rPr>
          <w:color w:val="000000" w:themeColor="text1"/>
          <w:kern w:val="2"/>
          <w14:ligatures w14:val="standardContextual"/>
        </w:rPr>
        <w:t xml:space="preserve">, </w:t>
      </w:r>
      <w:r w:rsidR="008F2A6F">
        <w:rPr>
          <w:color w:val="000000" w:themeColor="text1"/>
          <w:kern w:val="2"/>
          <w14:ligatures w14:val="standardContextual"/>
        </w:rPr>
        <w:t>universities,</w:t>
      </w:r>
      <w:r w:rsidR="002E064E">
        <w:rPr>
          <w:color w:val="000000" w:themeColor="text1"/>
          <w:kern w:val="2"/>
          <w14:ligatures w14:val="standardContextual"/>
        </w:rPr>
        <w:t xml:space="preserve"> and</w:t>
      </w:r>
      <w:r w:rsidRPr="00014CC7">
        <w:rPr>
          <w:color w:val="000000" w:themeColor="text1"/>
          <w:kern w:val="2"/>
          <w14:ligatures w14:val="standardContextual"/>
        </w:rPr>
        <w:t xml:space="preserve"> </w:t>
      </w:r>
      <w:r w:rsidR="00E20CE7">
        <w:rPr>
          <w:color w:val="000000" w:themeColor="text1"/>
          <w:kern w:val="2"/>
          <w14:ligatures w14:val="standardContextual"/>
        </w:rPr>
        <w:t>the private sector</w:t>
      </w:r>
      <w:r w:rsidRPr="00014CC7">
        <w:rPr>
          <w:color w:val="000000" w:themeColor="text1"/>
          <w:kern w:val="2"/>
          <w14:ligatures w14:val="standardContextual"/>
        </w:rPr>
        <w:t xml:space="preserve">. </w:t>
      </w:r>
      <w:r w:rsidR="00D53F20">
        <w:rPr>
          <w:color w:val="000000" w:themeColor="text1"/>
          <w:kern w:val="2"/>
          <w14:ligatures w14:val="standardContextual"/>
        </w:rPr>
        <w:t>The peer</w:t>
      </w:r>
      <w:r w:rsidRPr="00014CC7">
        <w:rPr>
          <w:color w:val="000000" w:themeColor="text1"/>
          <w:kern w:val="2"/>
          <w14:ligatures w14:val="standardContextual"/>
        </w:rPr>
        <w:t xml:space="preserve"> review</w:t>
      </w:r>
      <w:r w:rsidR="00F0755A">
        <w:rPr>
          <w:color w:val="000000" w:themeColor="text1"/>
          <w:kern w:val="2"/>
          <w14:ligatures w14:val="standardContextual"/>
        </w:rPr>
        <w:t>er</w:t>
      </w:r>
      <w:r w:rsidR="0065164D">
        <w:rPr>
          <w:color w:val="000000" w:themeColor="text1"/>
          <w:kern w:val="2"/>
          <w14:ligatures w14:val="standardContextual"/>
        </w:rPr>
        <w:t xml:space="preserve">s </w:t>
      </w:r>
      <w:r w:rsidR="00254985">
        <w:rPr>
          <w:color w:val="000000" w:themeColor="text1"/>
          <w:kern w:val="2"/>
          <w14:ligatures w14:val="standardContextual"/>
        </w:rPr>
        <w:t xml:space="preserve">included </w:t>
      </w:r>
      <w:r w:rsidR="00A300DC">
        <w:rPr>
          <w:color w:val="000000" w:themeColor="text1"/>
          <w:kern w:val="2"/>
          <w14:ligatures w14:val="standardContextual"/>
        </w:rPr>
        <w:t>three representatives from North Karelia region</w:t>
      </w:r>
      <w:r w:rsidR="00042138">
        <w:rPr>
          <w:color w:val="000000" w:themeColor="text1"/>
          <w:kern w:val="2"/>
          <w14:ligatures w14:val="standardContextual"/>
        </w:rPr>
        <w:t xml:space="preserve">: </w:t>
      </w:r>
      <w:r w:rsidR="002F005B" w:rsidRPr="002F005B">
        <w:rPr>
          <w:color w:val="000000" w:themeColor="text1"/>
          <w:kern w:val="2"/>
          <w14:ligatures w14:val="standardContextual"/>
        </w:rPr>
        <w:t>Maarit Siitonen</w:t>
      </w:r>
      <w:r w:rsidR="00A300DC">
        <w:rPr>
          <w:color w:val="000000" w:themeColor="text1"/>
          <w:kern w:val="2"/>
          <w14:ligatures w14:val="standardContextual"/>
        </w:rPr>
        <w:t xml:space="preserve"> (</w:t>
      </w:r>
      <w:r w:rsidR="002F005B" w:rsidRPr="002F005B">
        <w:rPr>
          <w:color w:val="000000" w:themeColor="text1"/>
          <w:kern w:val="2"/>
          <w14:ligatures w14:val="standardContextual"/>
        </w:rPr>
        <w:t>Regional Council</w:t>
      </w:r>
      <w:r w:rsidR="00254985">
        <w:rPr>
          <w:color w:val="000000" w:themeColor="text1"/>
          <w:kern w:val="2"/>
          <w14:ligatures w14:val="standardContextual"/>
        </w:rPr>
        <w:t xml:space="preserve"> of</w:t>
      </w:r>
      <w:r w:rsidR="002F005B" w:rsidRPr="002F005B">
        <w:rPr>
          <w:color w:val="000000" w:themeColor="text1"/>
          <w:kern w:val="2"/>
          <w14:ligatures w14:val="standardContextual"/>
        </w:rPr>
        <w:t xml:space="preserve"> North Karelia</w:t>
      </w:r>
      <w:r w:rsidR="00A300DC">
        <w:rPr>
          <w:color w:val="000000" w:themeColor="text1"/>
          <w:kern w:val="2"/>
          <w14:ligatures w14:val="standardContextual"/>
        </w:rPr>
        <w:t>)</w:t>
      </w:r>
      <w:r w:rsidR="00254985">
        <w:rPr>
          <w:color w:val="000000" w:themeColor="text1"/>
          <w:kern w:val="2"/>
          <w14:ligatures w14:val="standardContextual"/>
        </w:rPr>
        <w:t xml:space="preserve">, </w:t>
      </w:r>
      <w:r w:rsidR="002F005B" w:rsidRPr="002F005B">
        <w:rPr>
          <w:color w:val="000000" w:themeColor="text1"/>
          <w:kern w:val="2"/>
          <w14:ligatures w14:val="standardContextual"/>
        </w:rPr>
        <w:t>Asse Marjasvaara</w:t>
      </w:r>
      <w:r w:rsidR="00254985">
        <w:rPr>
          <w:color w:val="000000" w:themeColor="text1"/>
          <w:kern w:val="2"/>
          <w14:ligatures w14:val="standardContextual"/>
        </w:rPr>
        <w:t xml:space="preserve"> (</w:t>
      </w:r>
      <w:r w:rsidR="002F005B" w:rsidRPr="002F005B">
        <w:rPr>
          <w:color w:val="000000" w:themeColor="text1"/>
          <w:kern w:val="2"/>
          <w14:ligatures w14:val="standardContextual"/>
        </w:rPr>
        <w:t xml:space="preserve">GTK </w:t>
      </w:r>
      <w:proofErr w:type="spellStart"/>
      <w:r w:rsidR="002F005B" w:rsidRPr="002F005B">
        <w:rPr>
          <w:color w:val="000000" w:themeColor="text1"/>
          <w:kern w:val="2"/>
          <w14:ligatures w14:val="standardContextual"/>
        </w:rPr>
        <w:t>Mintec</w:t>
      </w:r>
      <w:proofErr w:type="spellEnd"/>
      <w:r w:rsidR="00254985">
        <w:rPr>
          <w:color w:val="000000" w:themeColor="text1"/>
          <w:kern w:val="2"/>
          <w14:ligatures w14:val="standardContextual"/>
        </w:rPr>
        <w:t xml:space="preserve">), </w:t>
      </w:r>
      <w:r w:rsidR="002F005B" w:rsidRPr="002F005B">
        <w:rPr>
          <w:color w:val="000000" w:themeColor="text1"/>
          <w:kern w:val="2"/>
          <w14:ligatures w14:val="standardContextual"/>
        </w:rPr>
        <w:t>Ilkka Nykanen</w:t>
      </w:r>
      <w:r w:rsidR="00254985">
        <w:rPr>
          <w:color w:val="000000" w:themeColor="text1"/>
          <w:kern w:val="2"/>
          <w14:ligatures w14:val="standardContextual"/>
        </w:rPr>
        <w:t xml:space="preserve"> (</w:t>
      </w:r>
      <w:r w:rsidR="002F005B" w:rsidRPr="002F005B">
        <w:rPr>
          <w:color w:val="000000" w:themeColor="text1"/>
          <w:kern w:val="2"/>
          <w14:ligatures w14:val="standardContextual"/>
        </w:rPr>
        <w:t>Business Joensuu</w:t>
      </w:r>
      <w:r w:rsidR="00A300DC">
        <w:rPr>
          <w:color w:val="000000" w:themeColor="text1"/>
          <w:kern w:val="2"/>
          <w14:ligatures w14:val="standardContextual"/>
        </w:rPr>
        <w:t xml:space="preserve">, </w:t>
      </w:r>
      <w:r w:rsidR="002F005B" w:rsidRPr="002F005B">
        <w:rPr>
          <w:color w:val="000000" w:themeColor="text1"/>
          <w:kern w:val="2"/>
          <w14:ligatures w14:val="standardContextual"/>
        </w:rPr>
        <w:t>Business Development Agency)</w:t>
      </w:r>
      <w:r w:rsidR="00A300DC">
        <w:rPr>
          <w:color w:val="000000" w:themeColor="text1"/>
          <w:kern w:val="2"/>
          <w14:ligatures w14:val="standardContextual"/>
        </w:rPr>
        <w:t>.</w:t>
      </w:r>
      <w:r w:rsidR="0037490F">
        <w:rPr>
          <w:color w:val="000000" w:themeColor="text1"/>
          <w:kern w:val="2"/>
          <w14:ligatures w14:val="standardContextual"/>
        </w:rPr>
        <w:t xml:space="preserve"> </w:t>
      </w:r>
    </w:p>
    <w:p w14:paraId="16392DE4" w14:textId="0D778B0D" w:rsidR="00C53B28" w:rsidRPr="00304316" w:rsidRDefault="00A45306" w:rsidP="001431C9">
      <w:pPr>
        <w:jc w:val="both"/>
        <w:rPr>
          <w:rFonts w:ascii="Arial" w:hAnsi="Arial" w:cs="Arial"/>
          <w:b/>
          <w:bCs/>
          <w:color w:val="002060"/>
          <w:u w:val="single"/>
          <w:lang w:eastAsia="es-ES"/>
        </w:rPr>
      </w:pPr>
      <w:r>
        <w:rPr>
          <w:rFonts w:ascii="Arial" w:hAnsi="Arial" w:cs="Arial"/>
          <w:b/>
          <w:bCs/>
          <w:color w:val="002060"/>
          <w:u w:val="single"/>
          <w:lang w:eastAsia="es-ES"/>
        </w:rPr>
        <w:t>Current state</w:t>
      </w:r>
      <w:r w:rsidR="00C53B28" w:rsidRPr="00304316">
        <w:rPr>
          <w:rFonts w:ascii="Arial" w:hAnsi="Arial" w:cs="Arial"/>
          <w:b/>
          <w:bCs/>
          <w:color w:val="002060"/>
          <w:u w:val="single"/>
          <w:lang w:eastAsia="es-ES"/>
        </w:rPr>
        <w:t xml:space="preserve"> </w:t>
      </w:r>
    </w:p>
    <w:p w14:paraId="54760FEA" w14:textId="0BE89598" w:rsidR="002D2D7C" w:rsidRDefault="002D2D7C" w:rsidP="000861F0">
      <w:pPr>
        <w:jc w:val="both"/>
        <w:rPr>
          <w:rStyle w:val="normaltextrun"/>
          <w:rFonts w:ascii="Calibri" w:hAnsi="Calibri" w:cs="Calibri"/>
        </w:rPr>
      </w:pPr>
      <w:r w:rsidRPr="006D5928">
        <w:rPr>
          <w:rFonts w:cstheme="minorHAnsi"/>
        </w:rPr>
        <w:t xml:space="preserve">The region has a significant </w:t>
      </w:r>
      <w:r>
        <w:rPr>
          <w:rFonts w:cstheme="minorHAnsi"/>
        </w:rPr>
        <w:t xml:space="preserve">mining </w:t>
      </w:r>
      <w:r w:rsidRPr="006D5928">
        <w:rPr>
          <w:rFonts w:cstheme="minorHAnsi"/>
        </w:rPr>
        <w:t>history dating back to the 13</w:t>
      </w:r>
      <w:r w:rsidRPr="006D5928">
        <w:rPr>
          <w:rFonts w:cstheme="minorHAnsi"/>
          <w:vertAlign w:val="superscript"/>
        </w:rPr>
        <w:t>th</w:t>
      </w:r>
      <w:r w:rsidRPr="006D5928">
        <w:rPr>
          <w:rFonts w:cstheme="minorHAnsi"/>
        </w:rPr>
        <w:t xml:space="preserve"> century</w:t>
      </w:r>
      <w:r w:rsidR="00196058">
        <w:rPr>
          <w:rFonts w:cstheme="minorHAnsi"/>
        </w:rPr>
        <w:t xml:space="preserve"> with the first Iron mines in the country</w:t>
      </w:r>
      <w:r w:rsidR="001979C5">
        <w:rPr>
          <w:rFonts w:cstheme="minorHAnsi"/>
        </w:rPr>
        <w:t>. T</w:t>
      </w:r>
      <w:r w:rsidRPr="006D5928">
        <w:rPr>
          <w:rFonts w:cstheme="minorHAnsi"/>
        </w:rPr>
        <w:t>oday</w:t>
      </w:r>
      <w:r w:rsidR="00CB5E81">
        <w:rPr>
          <w:rFonts w:cstheme="minorHAnsi"/>
        </w:rPr>
        <w:t xml:space="preserve">, </w:t>
      </w:r>
      <w:r w:rsidR="006302AD">
        <w:rPr>
          <w:rFonts w:cstheme="minorHAnsi"/>
        </w:rPr>
        <w:t xml:space="preserve">the region has two active mines and several closed </w:t>
      </w:r>
      <w:r w:rsidR="00E1474B">
        <w:rPr>
          <w:rFonts w:cstheme="minorHAnsi"/>
        </w:rPr>
        <w:t xml:space="preserve">mines </w:t>
      </w:r>
      <w:r w:rsidR="006302AD">
        <w:rPr>
          <w:rFonts w:cstheme="minorHAnsi"/>
        </w:rPr>
        <w:t xml:space="preserve">(rehabilitated or remediated), </w:t>
      </w:r>
      <w:r w:rsidR="006302AD">
        <w:rPr>
          <w:rFonts w:cstheme="minorHAnsi"/>
        </w:rPr>
        <w:t xml:space="preserve">with some of them being potential source of critical minerals. </w:t>
      </w:r>
      <w:r w:rsidR="00E1474B">
        <w:rPr>
          <w:rFonts w:cstheme="minorHAnsi"/>
        </w:rPr>
        <w:t>The region</w:t>
      </w:r>
      <w:r w:rsidR="003C0B1C">
        <w:rPr>
          <w:rFonts w:cstheme="minorHAnsi"/>
        </w:rPr>
        <w:t xml:space="preserve"> </w:t>
      </w:r>
      <w:r w:rsidR="00862E25">
        <w:rPr>
          <w:rFonts w:cstheme="minorHAnsi"/>
        </w:rPr>
        <w:t xml:space="preserve">is </w:t>
      </w:r>
      <w:r w:rsidR="00CB5E81">
        <w:rPr>
          <w:rFonts w:cstheme="minorHAnsi"/>
        </w:rPr>
        <w:t>a well-connected area</w:t>
      </w:r>
      <w:r w:rsidR="00862E25">
        <w:rPr>
          <w:rFonts w:cstheme="minorHAnsi"/>
        </w:rPr>
        <w:t>,</w:t>
      </w:r>
      <w:r w:rsidR="00CB5E81">
        <w:rPr>
          <w:rFonts w:cstheme="minorHAnsi"/>
        </w:rPr>
        <w:t xml:space="preserve"> just </w:t>
      </w:r>
      <w:r w:rsidR="00CB5E81" w:rsidRPr="006D5928">
        <w:rPr>
          <w:rFonts w:cstheme="minorHAnsi"/>
        </w:rPr>
        <w:t>two hours from Stockholm</w:t>
      </w:r>
      <w:r w:rsidR="00862E25">
        <w:rPr>
          <w:rFonts w:cstheme="minorHAnsi"/>
        </w:rPr>
        <w:t>, with a</w:t>
      </w:r>
      <w:r w:rsidR="00CB5E81">
        <w:rPr>
          <w:rFonts w:cstheme="minorHAnsi"/>
        </w:rPr>
        <w:t xml:space="preserve"> vibrant </w:t>
      </w:r>
      <w:r w:rsidR="006B1D77">
        <w:rPr>
          <w:rFonts w:cstheme="minorHAnsi"/>
        </w:rPr>
        <w:t xml:space="preserve">University with high-tech </w:t>
      </w:r>
      <w:r w:rsidR="00716056">
        <w:rPr>
          <w:rFonts w:cstheme="minorHAnsi"/>
        </w:rPr>
        <w:t xml:space="preserve">focus and </w:t>
      </w:r>
      <w:r w:rsidR="00FD6208">
        <w:rPr>
          <w:rFonts w:cstheme="minorHAnsi"/>
        </w:rPr>
        <w:t xml:space="preserve">hosting </w:t>
      </w:r>
      <w:r w:rsidR="00FD6208" w:rsidRPr="006D5928">
        <w:rPr>
          <w:rFonts w:cstheme="minorHAnsi"/>
        </w:rPr>
        <w:t>one of</w:t>
      </w:r>
      <w:r w:rsidR="00FD6208">
        <w:rPr>
          <w:rFonts w:cstheme="minorHAnsi"/>
        </w:rPr>
        <w:t xml:space="preserve"> </w:t>
      </w:r>
      <w:r w:rsidR="00FD6208">
        <w:rPr>
          <w:rFonts w:cstheme="minorHAnsi"/>
        </w:rPr>
        <w:t xml:space="preserve">the </w:t>
      </w:r>
      <w:r w:rsidR="00FD6208" w:rsidRPr="006D5928">
        <w:rPr>
          <w:rFonts w:cstheme="minorHAnsi"/>
        </w:rPr>
        <w:t>largest producers of mining equipment</w:t>
      </w:r>
      <w:r w:rsidR="00FD6208">
        <w:rPr>
          <w:rFonts w:cstheme="minorHAnsi"/>
        </w:rPr>
        <w:t xml:space="preserve"> in the world- </w:t>
      </w:r>
      <w:proofErr w:type="spellStart"/>
      <w:r w:rsidR="00FD6208">
        <w:rPr>
          <w:rFonts w:cstheme="minorHAnsi"/>
        </w:rPr>
        <w:t>Eprioc</w:t>
      </w:r>
      <w:proofErr w:type="spellEnd"/>
      <w:r w:rsidR="00BE6393">
        <w:rPr>
          <w:rFonts w:cstheme="minorHAnsi"/>
        </w:rPr>
        <w:t xml:space="preserve">. </w:t>
      </w:r>
    </w:p>
    <w:p w14:paraId="31AD8AB1" w14:textId="614FA26E" w:rsidR="00775A03" w:rsidRPr="005948E0" w:rsidRDefault="00041D86" w:rsidP="009F44E0">
      <w:pPr>
        <w:jc w:val="both"/>
      </w:pPr>
      <w:proofErr w:type="spellStart"/>
      <w:r>
        <w:rPr>
          <w:rStyle w:val="normaltextrun"/>
          <w:rFonts w:ascii="Calibri" w:hAnsi="Calibri" w:cs="Calibri"/>
        </w:rPr>
        <w:t>Örebro’s</w:t>
      </w:r>
      <w:proofErr w:type="spellEnd"/>
      <w:r>
        <w:rPr>
          <w:rStyle w:val="normaltextrun"/>
          <w:rFonts w:ascii="Calibri" w:hAnsi="Calibri" w:cs="Calibri"/>
        </w:rPr>
        <w:t xml:space="preserve"> mining ecosystem contributes significantly to the local economy as well as to national and global mining innovation activities. The two operating mines in the region</w:t>
      </w:r>
      <w:r w:rsidR="005C5EED">
        <w:rPr>
          <w:rStyle w:val="normaltextrun"/>
          <w:rFonts w:ascii="Calibri" w:hAnsi="Calibri" w:cs="Calibri"/>
        </w:rPr>
        <w:t xml:space="preserve"> employ about </w:t>
      </w:r>
      <w:r>
        <w:rPr>
          <w:rStyle w:val="normaltextrun"/>
          <w:rFonts w:ascii="Calibri" w:hAnsi="Calibri" w:cs="Calibri"/>
        </w:rPr>
        <w:t xml:space="preserve">700 people combined. The </w:t>
      </w:r>
      <w:proofErr w:type="spellStart"/>
      <w:r>
        <w:rPr>
          <w:rStyle w:val="normaltextrun"/>
          <w:rFonts w:ascii="Calibri" w:hAnsi="Calibri" w:cs="Calibri"/>
        </w:rPr>
        <w:t>Lovisa</w:t>
      </w:r>
      <w:proofErr w:type="spellEnd"/>
      <w:r>
        <w:rPr>
          <w:rStyle w:val="normaltextrun"/>
          <w:rFonts w:ascii="Calibri" w:hAnsi="Calibri" w:cs="Calibri"/>
        </w:rPr>
        <w:t xml:space="preserve"> mine, first established in 1993, extract</w:t>
      </w:r>
      <w:r w:rsidR="0069254A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 xml:space="preserve"> lead, silver, and zinc</w:t>
      </w:r>
      <w:r w:rsidR="0069254A">
        <w:rPr>
          <w:rStyle w:val="normaltextrun"/>
          <w:rFonts w:ascii="Calibri" w:hAnsi="Calibri" w:cs="Calibri"/>
        </w:rPr>
        <w:t>, while t</w:t>
      </w:r>
      <w:r>
        <w:rPr>
          <w:rStyle w:val="normaltextrun"/>
          <w:rFonts w:ascii="Calibri" w:hAnsi="Calibri" w:cs="Calibri"/>
        </w:rPr>
        <w:t xml:space="preserve">he </w:t>
      </w:r>
      <w:proofErr w:type="spellStart"/>
      <w:r>
        <w:rPr>
          <w:rStyle w:val="normaltextrun"/>
          <w:rFonts w:ascii="Calibri" w:hAnsi="Calibri" w:cs="Calibri"/>
        </w:rPr>
        <w:t>Zinkgruvan</w:t>
      </w:r>
      <w:proofErr w:type="spellEnd"/>
      <w:r>
        <w:rPr>
          <w:rStyle w:val="normaltextrun"/>
          <w:rFonts w:ascii="Calibri" w:hAnsi="Calibri" w:cs="Calibri"/>
        </w:rPr>
        <w:t xml:space="preserve"> mine, first established in 1700</w:t>
      </w:r>
      <w:r w:rsidR="0069254A"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extract</w:t>
      </w:r>
      <w:r w:rsidR="0069254A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 xml:space="preserve"> 1 lead, zinc, and copper entirely underground </w:t>
      </w:r>
      <w:r w:rsidR="001303A5">
        <w:rPr>
          <w:rStyle w:val="normaltextrun"/>
          <w:rFonts w:ascii="Calibri" w:hAnsi="Calibri" w:cs="Calibri"/>
        </w:rPr>
        <w:t>since</w:t>
      </w:r>
      <w:r>
        <w:rPr>
          <w:rStyle w:val="normaltextrun"/>
          <w:rFonts w:ascii="Calibri" w:hAnsi="Calibri" w:cs="Calibri"/>
        </w:rPr>
        <w:t xml:space="preserve"> 2022. </w:t>
      </w:r>
      <w:r w:rsidR="001303A5">
        <w:rPr>
          <w:rStyle w:val="normaltextrun"/>
          <w:rFonts w:ascii="Calibri" w:hAnsi="Calibri" w:cs="Calibri"/>
        </w:rPr>
        <w:t xml:space="preserve">The </w:t>
      </w:r>
      <w:r>
        <w:rPr>
          <w:rStyle w:val="normaltextrun"/>
          <w:rFonts w:ascii="Calibri" w:hAnsi="Calibri" w:cs="Calibri"/>
        </w:rPr>
        <w:t xml:space="preserve">Swedish mining equipment company Epiroc </w:t>
      </w:r>
      <w:r w:rsidR="001303A5">
        <w:rPr>
          <w:rStyle w:val="normaltextrun"/>
          <w:rFonts w:ascii="Calibri" w:hAnsi="Calibri" w:cs="Calibri"/>
        </w:rPr>
        <w:t>employs</w:t>
      </w:r>
      <w:r>
        <w:rPr>
          <w:rStyle w:val="normaltextrun"/>
          <w:rFonts w:ascii="Calibri" w:hAnsi="Calibri" w:cs="Calibri"/>
        </w:rPr>
        <w:t xml:space="preserve"> over 2800 people and plan</w:t>
      </w:r>
      <w:r w:rsidR="00C17B28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 xml:space="preserve"> </w:t>
      </w:r>
      <w:r w:rsidR="00C17B28">
        <w:rPr>
          <w:rStyle w:val="normaltextrun"/>
          <w:rFonts w:ascii="Calibri" w:hAnsi="Calibri" w:cs="Calibri"/>
        </w:rPr>
        <w:t>to establish</w:t>
      </w:r>
      <w:r w:rsidR="00FE6AC1">
        <w:rPr>
          <w:rStyle w:val="normaltextrun"/>
          <w:rFonts w:ascii="Calibri" w:hAnsi="Calibri" w:cs="Calibri"/>
        </w:rPr>
        <w:t xml:space="preserve"> an underground mine for a t</w:t>
      </w:r>
      <w:r>
        <w:rPr>
          <w:rStyle w:val="normaltextrun"/>
          <w:rFonts w:ascii="Calibri" w:hAnsi="Calibri" w:cs="Calibri"/>
        </w:rPr>
        <w:t xml:space="preserve">est </w:t>
      </w:r>
      <w:r w:rsidR="00FE6AC1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entre</w:t>
      </w:r>
      <w:r w:rsidR="00FE6AC1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in collaboration with industry and academia</w:t>
      </w:r>
      <w:r w:rsidR="00D0472E">
        <w:t>.</w:t>
      </w:r>
      <w:r w:rsidR="0070174D">
        <w:rPr>
          <w:noProof/>
          <w:color w:val="000000" w:themeColor="text1"/>
          <w:kern w:val="2"/>
          <w:lang w:val="en-US"/>
          <w14:ligatures w14:val="standardContextual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80649" w14:paraId="6C85776F" w14:textId="77777777" w:rsidTr="00D04CC7">
        <w:tc>
          <w:tcPr>
            <w:tcW w:w="4390" w:type="dxa"/>
          </w:tcPr>
          <w:p w14:paraId="52DEA2A8" w14:textId="77777777" w:rsidR="00580649" w:rsidRPr="00907318" w:rsidRDefault="00580649" w:rsidP="00907318">
            <w:pPr>
              <w:jc w:val="center"/>
              <w:rPr>
                <w:b/>
                <w:bCs/>
                <w:color w:val="000000" w:themeColor="text1"/>
              </w:rPr>
            </w:pPr>
            <w:r w:rsidRPr="00907318">
              <w:rPr>
                <w:b/>
                <w:bCs/>
                <w:color w:val="000000" w:themeColor="text1"/>
              </w:rPr>
              <w:t>Strengths</w:t>
            </w:r>
          </w:p>
        </w:tc>
        <w:tc>
          <w:tcPr>
            <w:tcW w:w="4677" w:type="dxa"/>
          </w:tcPr>
          <w:p w14:paraId="4212F673" w14:textId="02F174AB" w:rsidR="00580649" w:rsidRPr="00907318" w:rsidRDefault="00580649" w:rsidP="00907318">
            <w:pPr>
              <w:jc w:val="center"/>
              <w:rPr>
                <w:b/>
                <w:bCs/>
                <w:color w:val="000000" w:themeColor="text1"/>
              </w:rPr>
            </w:pPr>
            <w:r w:rsidRPr="00907318">
              <w:rPr>
                <w:b/>
                <w:bCs/>
                <w:color w:val="000000" w:themeColor="text1"/>
              </w:rPr>
              <w:t>Bottlenecks</w:t>
            </w:r>
          </w:p>
        </w:tc>
      </w:tr>
      <w:tr w:rsidR="004B1944" w:rsidRPr="00DE7EE2" w14:paraId="128CC7E7" w14:textId="77777777" w:rsidTr="00D04CC7">
        <w:tc>
          <w:tcPr>
            <w:tcW w:w="4390" w:type="dxa"/>
          </w:tcPr>
          <w:p w14:paraId="5743DF79" w14:textId="6B299B91" w:rsidR="004B1944" w:rsidRPr="00876895" w:rsidRDefault="004C0E26" w:rsidP="004B1944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Enabling transport and energy</w:t>
            </w:r>
            <w:r w:rsidR="00425F8D" w:rsidRPr="00425F8D">
              <w:rPr>
                <w:b/>
                <w:bCs/>
                <w:sz w:val="20"/>
                <w:szCs w:val="20"/>
              </w:rPr>
              <w:t xml:space="preserve"> infrastructure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4C0E26">
              <w:rPr>
                <w:sz w:val="20"/>
                <w:szCs w:val="20"/>
              </w:rPr>
              <w:t>expected</w:t>
            </w:r>
            <w:r w:rsidR="00425F8D" w:rsidRPr="00425F8D">
              <w:rPr>
                <w:sz w:val="20"/>
                <w:szCs w:val="20"/>
              </w:rPr>
              <w:t xml:space="preserve"> high-speed train to Oslo enhances connectivity with other regions and municipalities</w:t>
            </w:r>
            <w:r w:rsidR="00876895" w:rsidRPr="00876895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61E1126D" w14:textId="40A56F49" w:rsidR="004B1944" w:rsidRPr="0018025A" w:rsidRDefault="00DC29AA" w:rsidP="004B1944">
            <w:pPr>
              <w:jc w:val="both"/>
              <w:rPr>
                <w:sz w:val="20"/>
                <w:szCs w:val="20"/>
              </w:rPr>
            </w:pPr>
            <w:r w:rsidRPr="0018025A">
              <w:rPr>
                <w:b/>
                <w:bCs/>
                <w:sz w:val="20"/>
                <w:szCs w:val="20"/>
              </w:rPr>
              <w:t>Lengthy and expensive permitting process</w:t>
            </w:r>
            <w:r w:rsidRPr="0018025A">
              <w:rPr>
                <w:sz w:val="20"/>
                <w:szCs w:val="20"/>
              </w:rPr>
              <w:t xml:space="preserve"> hinders new investments and complicates </w:t>
            </w:r>
            <w:r w:rsidR="00C4738E">
              <w:rPr>
                <w:sz w:val="20"/>
                <w:szCs w:val="20"/>
              </w:rPr>
              <w:t xml:space="preserve">current </w:t>
            </w:r>
            <w:r w:rsidRPr="0018025A">
              <w:rPr>
                <w:sz w:val="20"/>
                <w:szCs w:val="20"/>
              </w:rPr>
              <w:t>operations</w:t>
            </w:r>
            <w:r w:rsidR="00C4738E">
              <w:rPr>
                <w:sz w:val="20"/>
                <w:szCs w:val="20"/>
              </w:rPr>
              <w:t>, specially of small mines</w:t>
            </w:r>
            <w:r w:rsidR="00572A2D" w:rsidRPr="0018025A">
              <w:rPr>
                <w:sz w:val="20"/>
                <w:szCs w:val="20"/>
              </w:rPr>
              <w:t xml:space="preserve">. </w:t>
            </w:r>
          </w:p>
        </w:tc>
      </w:tr>
      <w:tr w:rsidR="004B1944" w:rsidRPr="00186551" w14:paraId="37A4D1EC" w14:textId="77777777" w:rsidTr="00D04CC7">
        <w:tc>
          <w:tcPr>
            <w:tcW w:w="4390" w:type="dxa"/>
          </w:tcPr>
          <w:p w14:paraId="3DDD9666" w14:textId="3966E40F" w:rsidR="004B1944" w:rsidRPr="00D53F20" w:rsidRDefault="003B612C" w:rsidP="004B1944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="00DF6436" w:rsidRPr="00F1090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nnovation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hub</w:t>
            </w:r>
            <w:r w:rsidR="00DF6436" w:rsidRPr="00F1090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349F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with potential for</w:t>
            </w:r>
            <w:r w:rsidR="00DF6436" w:rsidRPr="00F1090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mining</w:t>
            </w:r>
            <w:r w:rsidR="009349F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9349F1" w:rsidRPr="009349F1">
              <w:rPr>
                <w:color w:val="000000" w:themeColor="text1"/>
                <w:sz w:val="20"/>
                <w:szCs w:val="20"/>
                <w:lang w:val="en-US"/>
              </w:rPr>
              <w:t xml:space="preserve">featuring a </w:t>
            </w:r>
            <w:r w:rsidR="00DF6436" w:rsidRPr="009349F1">
              <w:rPr>
                <w:color w:val="000000" w:themeColor="text1"/>
                <w:sz w:val="20"/>
                <w:szCs w:val="20"/>
                <w:lang w:val="en-US"/>
              </w:rPr>
              <w:t xml:space="preserve">mining equipment company </w:t>
            </w:r>
            <w:r w:rsidR="0018025A" w:rsidRPr="009349F1">
              <w:rPr>
                <w:color w:val="000000" w:themeColor="text1"/>
                <w:sz w:val="20"/>
                <w:szCs w:val="20"/>
                <w:lang w:val="en-US"/>
              </w:rPr>
              <w:t xml:space="preserve">Epiroc </w:t>
            </w:r>
            <w:r w:rsidR="00B14D98" w:rsidRPr="009349F1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="00B14D98" w:rsidRPr="009349F1">
              <w:rPr>
                <w:color w:val="000000" w:themeColor="text1"/>
                <w:sz w:val="20"/>
                <w:szCs w:val="20"/>
                <w:lang w:val="en-US"/>
              </w:rPr>
              <w:t>nd a university with expertise in innovation</w:t>
            </w:r>
            <w:r w:rsidR="00B14D98" w:rsidRPr="00B14D98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4677" w:type="dxa"/>
          </w:tcPr>
          <w:p w14:paraId="78DFAAB5" w14:textId="0CC8873E" w:rsidR="004B1944" w:rsidRPr="00945A22" w:rsidRDefault="00945A22" w:rsidP="004B1944">
            <w:pPr>
              <w:jc w:val="both"/>
              <w:rPr>
                <w:b/>
                <w:bCs/>
                <w:sz w:val="20"/>
                <w:szCs w:val="20"/>
              </w:rPr>
            </w:pPr>
            <w:r w:rsidRPr="0018025A">
              <w:rPr>
                <w:b/>
                <w:bCs/>
                <w:sz w:val="20"/>
                <w:szCs w:val="20"/>
              </w:rPr>
              <w:t>Unclear regional strategy and vision</w:t>
            </w:r>
            <w:r w:rsidRPr="0018025A">
              <w:rPr>
                <w:sz w:val="20"/>
                <w:szCs w:val="20"/>
              </w:rPr>
              <w:t xml:space="preserve"> for the role of mining for the </w:t>
            </w:r>
            <w:r w:rsidR="005B0A13">
              <w:rPr>
                <w:sz w:val="20"/>
                <w:szCs w:val="20"/>
              </w:rPr>
              <w:t xml:space="preserve">regional </w:t>
            </w:r>
            <w:r w:rsidRPr="0018025A">
              <w:rPr>
                <w:sz w:val="20"/>
                <w:szCs w:val="20"/>
              </w:rPr>
              <w:t xml:space="preserve">development </w:t>
            </w:r>
            <w:r>
              <w:rPr>
                <w:sz w:val="20"/>
                <w:szCs w:val="20"/>
              </w:rPr>
              <w:t>and low level of integration of municipal governments in potential mining projects</w:t>
            </w:r>
            <w:r w:rsidRPr="0018025A">
              <w:rPr>
                <w:sz w:val="20"/>
                <w:szCs w:val="20"/>
              </w:rPr>
              <w:t xml:space="preserve">.  </w:t>
            </w:r>
          </w:p>
        </w:tc>
      </w:tr>
      <w:tr w:rsidR="004B1944" w:rsidRPr="00186551" w14:paraId="22576BE3" w14:textId="77777777" w:rsidTr="00D04CC7">
        <w:tc>
          <w:tcPr>
            <w:tcW w:w="4390" w:type="dxa"/>
          </w:tcPr>
          <w:p w14:paraId="4916216D" w14:textId="535FD04A" w:rsidR="004B1944" w:rsidRPr="00D53F20" w:rsidRDefault="00BE1823" w:rsidP="004B1944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BE182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Longstanding successful mining operations</w:t>
            </w:r>
            <w:r w:rsidRPr="00BE1823">
              <w:rPr>
                <w:color w:val="000000" w:themeColor="text1"/>
                <w:sz w:val="20"/>
                <w:szCs w:val="20"/>
                <w:lang w:val="en-US"/>
              </w:rPr>
              <w:t xml:space="preserve"> such as </w:t>
            </w:r>
            <w:proofErr w:type="spellStart"/>
            <w:r w:rsidRPr="00BE1823">
              <w:rPr>
                <w:color w:val="000000" w:themeColor="text1"/>
                <w:sz w:val="20"/>
                <w:szCs w:val="20"/>
                <w:lang w:val="en-US"/>
              </w:rPr>
              <w:t>Zinkgruvan</w:t>
            </w:r>
            <w:proofErr w:type="spellEnd"/>
            <w:r w:rsidRPr="00BE1823">
              <w:rPr>
                <w:color w:val="000000" w:themeColor="text1"/>
                <w:sz w:val="20"/>
                <w:szCs w:val="20"/>
                <w:lang w:val="en-US"/>
              </w:rPr>
              <w:t xml:space="preserve"> mine, contributing significantly to local </w:t>
            </w:r>
            <w:r w:rsidR="004C0E26">
              <w:rPr>
                <w:color w:val="000000" w:themeColor="text1"/>
                <w:sz w:val="20"/>
                <w:szCs w:val="20"/>
                <w:lang w:val="en-US"/>
              </w:rPr>
              <w:t>development</w:t>
            </w:r>
            <w:r w:rsidR="00572A2D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677" w:type="dxa"/>
          </w:tcPr>
          <w:p w14:paraId="710D3281" w14:textId="6E5EC8EA" w:rsidR="004B1944" w:rsidRPr="0018025A" w:rsidRDefault="00945A22" w:rsidP="004B1944">
            <w:pPr>
              <w:jc w:val="both"/>
              <w:rPr>
                <w:sz w:val="20"/>
                <w:szCs w:val="20"/>
              </w:rPr>
            </w:pPr>
            <w:r w:rsidRPr="0018025A">
              <w:rPr>
                <w:b/>
                <w:bCs/>
                <w:sz w:val="20"/>
                <w:szCs w:val="20"/>
              </w:rPr>
              <w:t>Rising energy costs</w:t>
            </w:r>
            <w:r w:rsidRPr="0018025A">
              <w:rPr>
                <w:sz w:val="20"/>
                <w:szCs w:val="20"/>
              </w:rPr>
              <w:t xml:space="preserve"> make mining operations costly and deter new companies from entering the market</w:t>
            </w:r>
          </w:p>
        </w:tc>
      </w:tr>
    </w:tbl>
    <w:p w14:paraId="4685D445" w14:textId="77777777" w:rsidR="00BD319A" w:rsidRDefault="00BD319A" w:rsidP="00F0755A">
      <w:pPr>
        <w:jc w:val="both"/>
        <w:rPr>
          <w:rFonts w:ascii="Arial" w:hAnsi="Arial" w:cs="Arial"/>
          <w:b/>
          <w:bCs/>
          <w:color w:val="002060"/>
          <w:u w:val="single"/>
          <w:lang w:eastAsia="es-ES"/>
        </w:rPr>
      </w:pPr>
    </w:p>
    <w:p w14:paraId="6C518FDD" w14:textId="65FF3982" w:rsidR="00F0755A" w:rsidRPr="00F0755A" w:rsidRDefault="00F0755A" w:rsidP="00F0755A">
      <w:pPr>
        <w:jc w:val="both"/>
        <w:rPr>
          <w:rFonts w:ascii="Arial" w:hAnsi="Arial" w:cs="Arial"/>
          <w:b/>
          <w:bCs/>
          <w:color w:val="002060"/>
          <w:u w:val="single"/>
          <w:lang w:eastAsia="es-ES"/>
        </w:rPr>
      </w:pPr>
      <w:r w:rsidRPr="00F0755A">
        <w:rPr>
          <w:rFonts w:ascii="Arial" w:hAnsi="Arial" w:cs="Arial"/>
          <w:b/>
          <w:bCs/>
          <w:color w:val="002060"/>
          <w:u w:val="single"/>
          <w:lang w:eastAsia="es-ES"/>
        </w:rPr>
        <w:t>Key Takeaways</w:t>
      </w:r>
    </w:p>
    <w:p w14:paraId="31590EB5" w14:textId="1DCE143E" w:rsidR="000548BF" w:rsidRDefault="000548BF" w:rsidP="005D05AC">
      <w:pPr>
        <w:jc w:val="both"/>
        <w:rPr>
          <w:b/>
          <w:bCs/>
        </w:rPr>
      </w:pPr>
      <w:r>
        <w:rPr>
          <w:b/>
          <w:bCs/>
        </w:rPr>
        <w:t xml:space="preserve">Mining Governance and </w:t>
      </w:r>
      <w:r w:rsidR="00134A07">
        <w:rPr>
          <w:b/>
          <w:bCs/>
        </w:rPr>
        <w:t xml:space="preserve">environmental considerations </w:t>
      </w:r>
    </w:p>
    <w:p w14:paraId="7772C98E" w14:textId="76CB8A59" w:rsidR="00134A07" w:rsidRPr="00AF421F" w:rsidRDefault="00AF421F" w:rsidP="00AF421F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AF421F">
        <w:rPr>
          <w:rFonts w:cstheme="minorHAnsi"/>
        </w:rPr>
        <w:t>There is a need to clarify the regional strategic vision for leveraging current and future mining projects, as well as related businesses, to drive regional development.</w:t>
      </w:r>
      <w:r w:rsidR="003E037B" w:rsidRPr="00AF421F">
        <w:rPr>
          <w:rFonts w:cstheme="minorHAnsi"/>
        </w:rPr>
        <w:t xml:space="preserve"> </w:t>
      </w:r>
    </w:p>
    <w:p w14:paraId="5B6BEDA8" w14:textId="0998FD2C" w:rsidR="00AE6B26" w:rsidRPr="00AE6B26" w:rsidRDefault="008A3770" w:rsidP="00134A07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>
        <w:rPr>
          <w:rFonts w:cstheme="minorHAnsi"/>
        </w:rPr>
        <w:t>T</w:t>
      </w:r>
      <w:r>
        <w:rPr>
          <w:rFonts w:cstheme="minorHAnsi"/>
        </w:rPr>
        <w:t>here are no clear strategies to analyse business opportunities in reusing or remining old mine sites</w:t>
      </w:r>
      <w:r>
        <w:rPr>
          <w:rFonts w:cstheme="minorHAnsi"/>
        </w:rPr>
        <w:t xml:space="preserve">. </w:t>
      </w:r>
      <w:r w:rsidR="00F039EE">
        <w:rPr>
          <w:rFonts w:cstheme="minorHAnsi"/>
        </w:rPr>
        <w:t>Management of</w:t>
      </w:r>
      <w:r w:rsidR="00677AE5">
        <w:rPr>
          <w:rFonts w:cstheme="minorHAnsi"/>
        </w:rPr>
        <w:t xml:space="preserve"> o</w:t>
      </w:r>
      <w:r w:rsidR="008E4F20">
        <w:rPr>
          <w:rFonts w:cstheme="minorHAnsi"/>
        </w:rPr>
        <w:t>ld mines in the regio</w:t>
      </w:r>
      <w:r w:rsidR="005C5A6F">
        <w:rPr>
          <w:rFonts w:cstheme="minorHAnsi"/>
        </w:rPr>
        <w:t>n</w:t>
      </w:r>
      <w:r w:rsidR="00677AE5">
        <w:rPr>
          <w:rFonts w:cstheme="minorHAnsi"/>
        </w:rPr>
        <w:t xml:space="preserve"> </w:t>
      </w:r>
      <w:r w:rsidR="00741F5D">
        <w:rPr>
          <w:rFonts w:cstheme="minorHAnsi"/>
        </w:rPr>
        <w:t>has focused</w:t>
      </w:r>
      <w:r w:rsidR="00C72CC7">
        <w:rPr>
          <w:rFonts w:cstheme="minorHAnsi"/>
        </w:rPr>
        <w:t xml:space="preserve"> on </w:t>
      </w:r>
      <w:r w:rsidR="005C5A6F">
        <w:rPr>
          <w:rFonts w:cstheme="minorHAnsi"/>
        </w:rPr>
        <w:t>rehabilita</w:t>
      </w:r>
      <w:r w:rsidR="00677AE5">
        <w:rPr>
          <w:rFonts w:cstheme="minorHAnsi"/>
        </w:rPr>
        <w:t>tion and re</w:t>
      </w:r>
      <w:r w:rsidR="0024676E">
        <w:rPr>
          <w:rFonts w:cstheme="minorHAnsi"/>
        </w:rPr>
        <w:t>mediat</w:t>
      </w:r>
      <w:r w:rsidR="00677AE5">
        <w:rPr>
          <w:rFonts w:cstheme="minorHAnsi"/>
        </w:rPr>
        <w:t>ion.</w:t>
      </w:r>
      <w:r w:rsidR="00AE6B26">
        <w:rPr>
          <w:rFonts w:cstheme="minorHAnsi"/>
        </w:rPr>
        <w:t xml:space="preserve"> </w:t>
      </w:r>
    </w:p>
    <w:p w14:paraId="76F29C90" w14:textId="401352BE" w:rsidR="003E037B" w:rsidRPr="00DE4AFF" w:rsidRDefault="00945A22" w:rsidP="00134A07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>
        <w:rPr>
          <w:rFonts w:cstheme="minorHAnsi"/>
        </w:rPr>
        <w:lastRenderedPageBreak/>
        <w:t>Municipa</w:t>
      </w:r>
      <w:r w:rsidR="00677AE5">
        <w:rPr>
          <w:rFonts w:cstheme="minorHAnsi"/>
        </w:rPr>
        <w:t xml:space="preserve">lities need to be better involved in exploration prospects and potential mining projects in their areas </w:t>
      </w:r>
      <w:r w:rsidR="00D244E4">
        <w:rPr>
          <w:rFonts w:cstheme="minorHAnsi"/>
        </w:rPr>
        <w:t>t</w:t>
      </w:r>
      <w:r w:rsidR="00677AE5">
        <w:rPr>
          <w:rFonts w:cstheme="minorHAnsi"/>
        </w:rPr>
        <w:t xml:space="preserve">o </w:t>
      </w:r>
      <w:r w:rsidR="003546AC">
        <w:rPr>
          <w:rFonts w:cstheme="minorHAnsi"/>
        </w:rPr>
        <w:t>allow</w:t>
      </w:r>
      <w:r w:rsidR="00F039EE">
        <w:rPr>
          <w:rFonts w:cstheme="minorHAnsi"/>
        </w:rPr>
        <w:t xml:space="preserve"> them for better</w:t>
      </w:r>
      <w:r w:rsidR="003546AC">
        <w:rPr>
          <w:rFonts w:cstheme="minorHAnsi"/>
        </w:rPr>
        <w:t xml:space="preserve"> planning for synergies with</w:t>
      </w:r>
      <w:r w:rsidR="00F039EE">
        <w:rPr>
          <w:rFonts w:cstheme="minorHAnsi"/>
        </w:rPr>
        <w:t xml:space="preserve"> the</w:t>
      </w:r>
      <w:r w:rsidR="003546AC">
        <w:rPr>
          <w:rFonts w:cstheme="minorHAnsi"/>
        </w:rPr>
        <w:t xml:space="preserve"> municipal development </w:t>
      </w:r>
      <w:r w:rsidR="00C01718">
        <w:rPr>
          <w:rFonts w:cstheme="minorHAnsi"/>
        </w:rPr>
        <w:t xml:space="preserve">strategies. </w:t>
      </w:r>
      <w:r w:rsidR="0035085A">
        <w:rPr>
          <w:rFonts w:cstheme="minorHAnsi"/>
        </w:rPr>
        <w:t xml:space="preserve">Given that mining exploration is decided and guided </w:t>
      </w:r>
      <w:r w:rsidR="00C01718">
        <w:rPr>
          <w:rFonts w:cstheme="minorHAnsi"/>
        </w:rPr>
        <w:t>at</w:t>
      </w:r>
      <w:r w:rsidR="0035085A">
        <w:rPr>
          <w:rFonts w:cstheme="minorHAnsi"/>
        </w:rPr>
        <w:t xml:space="preserve"> the national level,</w:t>
      </w:r>
      <w:r w:rsidR="00D20990">
        <w:rPr>
          <w:rFonts w:cstheme="minorHAnsi"/>
        </w:rPr>
        <w:t xml:space="preserve"> a bridge to connect local prio</w:t>
      </w:r>
      <w:r w:rsidR="00675EFE">
        <w:rPr>
          <w:rFonts w:cstheme="minorHAnsi"/>
        </w:rPr>
        <w:t xml:space="preserve">rities with national goal is needed. </w:t>
      </w:r>
      <w:r w:rsidR="00B832BD">
        <w:rPr>
          <w:rFonts w:cstheme="minorHAnsi"/>
        </w:rPr>
        <w:t xml:space="preserve"> </w:t>
      </w:r>
    </w:p>
    <w:p w14:paraId="445E7901" w14:textId="3CBCC837" w:rsidR="00DE4AFF" w:rsidRPr="00134A07" w:rsidRDefault="0031010B" w:rsidP="00134A07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>
        <w:t xml:space="preserve">Old tailings pose uncertain environmental and urban development impacts in certain municipalities. For example, they affect environmental permitting for housing construction in </w:t>
      </w:r>
      <w:proofErr w:type="spellStart"/>
      <w:r>
        <w:t>Ljusnarsberg</w:t>
      </w:r>
      <w:proofErr w:type="spellEnd"/>
      <w:r>
        <w:t xml:space="preserve"> and near the golf course in </w:t>
      </w:r>
      <w:proofErr w:type="spellStart"/>
      <w:r>
        <w:t>Askersund</w:t>
      </w:r>
      <w:proofErr w:type="spellEnd"/>
      <w:r w:rsidR="00934E6B">
        <w:rPr>
          <w:rFonts w:ascii="Calibri" w:hAnsi="Calibri" w:cs="Calibri"/>
          <w:color w:val="000000"/>
        </w:rPr>
        <w:t>.</w:t>
      </w:r>
    </w:p>
    <w:p w14:paraId="37513BF7" w14:textId="2DCD2033" w:rsidR="005D05AC" w:rsidRDefault="00F50F9E" w:rsidP="005D05AC">
      <w:pPr>
        <w:jc w:val="both"/>
        <w:rPr>
          <w:b/>
          <w:bCs/>
          <w:color w:val="000000" w:themeColor="text1"/>
          <w:kern w:val="2"/>
          <w14:ligatures w14:val="standardContextual"/>
        </w:rPr>
      </w:pPr>
      <w:r w:rsidRPr="008452D6">
        <w:rPr>
          <w:b/>
          <w:bCs/>
        </w:rPr>
        <w:t>Employment and skills</w:t>
      </w:r>
    </w:p>
    <w:p w14:paraId="505A3895" w14:textId="1FF30683" w:rsidR="00D56300" w:rsidRPr="00D25B17" w:rsidRDefault="00B77B75" w:rsidP="005D05AC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t xml:space="preserve">Vocational education for mining is scarce, as are dual programs transitioning from vocational to professional education. The </w:t>
      </w:r>
      <w:proofErr w:type="spellStart"/>
      <w:r>
        <w:t>Bergsskolan</w:t>
      </w:r>
      <w:proofErr w:type="spellEnd"/>
      <w:r>
        <w:t xml:space="preserve"> technical school in nearby </w:t>
      </w:r>
      <w:proofErr w:type="spellStart"/>
      <w:r>
        <w:t>Filipstad</w:t>
      </w:r>
      <w:proofErr w:type="spellEnd"/>
      <w:r>
        <w:t xml:space="preserve"> exemplifies vocational education tailored to industry needs.</w:t>
      </w:r>
      <w:r w:rsidR="009534D2">
        <w:rPr>
          <w:rFonts w:cstheme="minorHAnsi"/>
        </w:rPr>
        <w:t xml:space="preserve"> </w:t>
      </w:r>
      <w:r w:rsidR="00D25B17">
        <w:rPr>
          <w:rFonts w:cstheme="minorHAnsi"/>
        </w:rPr>
        <w:t xml:space="preserve"> </w:t>
      </w:r>
    </w:p>
    <w:p w14:paraId="5E36D99F" w14:textId="4C428E95" w:rsidR="005E6977" w:rsidRPr="00D10F17" w:rsidRDefault="00235515" w:rsidP="00D10F17">
      <w:pPr>
        <w:pStyle w:val="ListParagraph"/>
        <w:numPr>
          <w:ilvl w:val="0"/>
          <w:numId w:val="13"/>
        </w:numPr>
        <w:jc w:val="both"/>
        <w:rPr>
          <w:b/>
          <w:bCs/>
          <w:color w:val="000000" w:themeColor="text1"/>
          <w:kern w:val="2"/>
          <w14:ligatures w14:val="standardContextual"/>
        </w:rPr>
      </w:pPr>
      <w:r w:rsidRPr="00235515">
        <w:rPr>
          <w:color w:val="000000" w:themeColor="text1"/>
          <w:kern w:val="2"/>
          <w14:ligatures w14:val="standardContextual"/>
        </w:rPr>
        <w:t xml:space="preserve">There is </w:t>
      </w:r>
      <w:r w:rsidR="00D10F17">
        <w:rPr>
          <w:color w:val="000000" w:themeColor="text1"/>
          <w:kern w:val="2"/>
          <w14:ligatures w14:val="standardContextual"/>
        </w:rPr>
        <w:t xml:space="preserve">scope to better connect </w:t>
      </w:r>
      <w:r w:rsidRPr="00235515">
        <w:rPr>
          <w:color w:val="000000" w:themeColor="text1"/>
          <w:kern w:val="2"/>
          <w14:ligatures w14:val="standardContextual"/>
        </w:rPr>
        <w:t>the universit</w:t>
      </w:r>
      <w:r w:rsidR="00B77B75">
        <w:rPr>
          <w:color w:val="000000" w:themeColor="text1"/>
          <w:kern w:val="2"/>
          <w14:ligatures w14:val="standardContextual"/>
        </w:rPr>
        <w:t>y of Orebro</w:t>
      </w:r>
      <w:r w:rsidRPr="00235515">
        <w:rPr>
          <w:color w:val="000000" w:themeColor="text1"/>
          <w:kern w:val="2"/>
          <w14:ligatures w14:val="standardContextual"/>
        </w:rPr>
        <w:t xml:space="preserve">, </w:t>
      </w:r>
      <w:r w:rsidR="00E24BC4">
        <w:rPr>
          <w:color w:val="000000" w:themeColor="text1"/>
          <w:kern w:val="2"/>
          <w14:ligatures w14:val="standardContextual"/>
        </w:rPr>
        <w:t>whose core education areas with links to mining include AI&amp; Robotics and Pollutants</w:t>
      </w:r>
      <w:r w:rsidRPr="00235515">
        <w:rPr>
          <w:color w:val="000000" w:themeColor="text1"/>
          <w:kern w:val="2"/>
          <w14:ligatures w14:val="standardContextual"/>
        </w:rPr>
        <w:t>, and that of the</w:t>
      </w:r>
      <w:r w:rsidR="00715409">
        <w:rPr>
          <w:color w:val="000000" w:themeColor="text1"/>
          <w:kern w:val="2"/>
          <w14:ligatures w14:val="standardContextual"/>
        </w:rPr>
        <w:t xml:space="preserve"> needs of the</w:t>
      </w:r>
      <w:r w:rsidRPr="00235515">
        <w:rPr>
          <w:color w:val="000000" w:themeColor="text1"/>
          <w:kern w:val="2"/>
          <w14:ligatures w14:val="standardContextual"/>
        </w:rPr>
        <w:t xml:space="preserve"> </w:t>
      </w:r>
      <w:r w:rsidR="00A30BA1">
        <w:rPr>
          <w:color w:val="000000" w:themeColor="text1"/>
          <w:kern w:val="2"/>
          <w14:ligatures w14:val="standardContextual"/>
        </w:rPr>
        <w:t xml:space="preserve">regional </w:t>
      </w:r>
      <w:r w:rsidRPr="00235515">
        <w:rPr>
          <w:color w:val="000000" w:themeColor="text1"/>
          <w:kern w:val="2"/>
          <w14:ligatures w14:val="standardContextual"/>
        </w:rPr>
        <w:t xml:space="preserve">industry, </w:t>
      </w:r>
      <w:r w:rsidR="00A30BA1">
        <w:rPr>
          <w:color w:val="000000" w:themeColor="text1"/>
          <w:kern w:val="2"/>
          <w14:ligatures w14:val="standardContextual"/>
        </w:rPr>
        <w:t>including metallurgy and mining operations that lack</w:t>
      </w:r>
      <w:r w:rsidRPr="00235515">
        <w:rPr>
          <w:color w:val="000000" w:themeColor="text1"/>
          <w:kern w:val="2"/>
          <w14:ligatures w14:val="standardContextual"/>
        </w:rPr>
        <w:t xml:space="preserve"> educated and experienced professionals</w:t>
      </w:r>
      <w:r w:rsidR="00B10EF2">
        <w:rPr>
          <w:color w:val="000000" w:themeColor="text1"/>
          <w:kern w:val="2"/>
          <w14:ligatures w14:val="standardContextual"/>
        </w:rPr>
        <w:t>.</w:t>
      </w:r>
      <w:r w:rsidR="000548BF" w:rsidRPr="00D10F17">
        <w:rPr>
          <w:color w:val="000000" w:themeColor="text1"/>
          <w:kern w:val="2"/>
          <w14:ligatures w14:val="standardContextual"/>
        </w:rPr>
        <w:t xml:space="preserve"> </w:t>
      </w:r>
    </w:p>
    <w:p w14:paraId="7D1F7DF2" w14:textId="5D3AA4B2" w:rsidR="00022B0F" w:rsidRPr="005D05AC" w:rsidRDefault="00CE3F95" w:rsidP="00022B0F">
      <w:pPr>
        <w:jc w:val="both"/>
        <w:rPr>
          <w:b/>
          <w:bCs/>
          <w:color w:val="000000" w:themeColor="text1"/>
          <w:kern w:val="2"/>
          <w:lang w:val="en-US"/>
          <w14:ligatures w14:val="standardContextual"/>
        </w:rPr>
      </w:pPr>
      <w:r>
        <w:rPr>
          <w:b/>
          <w:bCs/>
          <w:color w:val="000000" w:themeColor="text1"/>
          <w:kern w:val="2"/>
          <w:lang w:val="en-US"/>
          <w14:ligatures w14:val="standardContextual"/>
        </w:rPr>
        <w:t xml:space="preserve">Innovation and </w:t>
      </w:r>
      <w:r w:rsidR="00AC7A50">
        <w:rPr>
          <w:b/>
          <w:bCs/>
          <w:color w:val="000000" w:themeColor="text1"/>
          <w:kern w:val="2"/>
          <w:lang w:val="en-US"/>
          <w14:ligatures w14:val="standardContextual"/>
        </w:rPr>
        <w:t xml:space="preserve">circular economy </w:t>
      </w:r>
    </w:p>
    <w:p w14:paraId="427D43D9" w14:textId="3463CA6F" w:rsidR="00D10F17" w:rsidRPr="00BB1B48" w:rsidRDefault="00D2331C" w:rsidP="00D10F17">
      <w:pPr>
        <w:pStyle w:val="ListParagraph"/>
        <w:numPr>
          <w:ilvl w:val="0"/>
          <w:numId w:val="15"/>
        </w:numPr>
        <w:jc w:val="both"/>
        <w:rPr>
          <w:b/>
          <w:bCs/>
          <w:color w:val="000000" w:themeColor="text1"/>
          <w:kern w:val="2"/>
          <w14:ligatures w14:val="standardContextual"/>
        </w:rPr>
      </w:pPr>
      <w:r>
        <w:t xml:space="preserve">The region can leverage its innovation ecosystem to benefit from </w:t>
      </w:r>
      <w:r>
        <w:t xml:space="preserve">local and national </w:t>
      </w:r>
      <w:r>
        <w:t>mining development</w:t>
      </w:r>
      <w:r>
        <w:t>s</w:t>
      </w:r>
      <w:r>
        <w:t xml:space="preserve">. This involves better connecting </w:t>
      </w:r>
      <w:proofErr w:type="spellStart"/>
      <w:r>
        <w:t>Örebro</w:t>
      </w:r>
      <w:proofErr w:type="spellEnd"/>
      <w:r>
        <w:t xml:space="preserve"> University’s innovation in digitalization and AI </w:t>
      </w:r>
      <w:r>
        <w:t xml:space="preserve">capacities </w:t>
      </w:r>
      <w:r>
        <w:t>with Epiroc’s technology leadership and entrepreneurs seeking opportunities</w:t>
      </w:r>
      <w:r w:rsidR="008547C0">
        <w:rPr>
          <w:rFonts w:cstheme="minorHAnsi"/>
        </w:rPr>
        <w:t>, for example through an innovation platform.</w:t>
      </w:r>
      <w:r w:rsidR="008547C0">
        <w:rPr>
          <w:b/>
          <w:bCs/>
          <w:color w:val="000000" w:themeColor="text1"/>
          <w:kern w:val="2"/>
          <w14:ligatures w14:val="standardContextual"/>
        </w:rPr>
        <w:t xml:space="preserve"> </w:t>
      </w:r>
    </w:p>
    <w:p w14:paraId="0AA3CF7A" w14:textId="0FDEA197" w:rsidR="00BB1B48" w:rsidRPr="004C0055" w:rsidRDefault="00BB1B48" w:rsidP="00D10F17">
      <w:pPr>
        <w:pStyle w:val="ListParagraph"/>
        <w:numPr>
          <w:ilvl w:val="0"/>
          <w:numId w:val="15"/>
        </w:numPr>
        <w:jc w:val="both"/>
        <w:rPr>
          <w:b/>
          <w:bCs/>
          <w:color w:val="000000" w:themeColor="text1"/>
          <w:kern w:val="2"/>
          <w14:ligatures w14:val="standardContextual"/>
        </w:rPr>
      </w:pPr>
      <w:r>
        <w:t xml:space="preserve">There is scope to leverage EU and national innovation funds to </w:t>
      </w:r>
      <w:r w:rsidR="006B0BC7">
        <w:t>support activities with old mines and with a high</w:t>
      </w:r>
      <w:r w:rsidR="006B0BC7" w:rsidRPr="006B0BC7">
        <w:rPr>
          <w:b/>
          <w:bCs/>
          <w:color w:val="000000" w:themeColor="text1"/>
          <w:kern w:val="2"/>
          <w14:ligatures w14:val="standardContextual"/>
        </w:rPr>
        <w:t>-</w:t>
      </w:r>
      <w:r w:rsidR="006B0BC7">
        <w:rPr>
          <w:color w:val="000000" w:themeColor="text1"/>
          <w:kern w:val="2"/>
          <w14:ligatures w14:val="standardContextual"/>
        </w:rPr>
        <w:t xml:space="preserve">tech mining </w:t>
      </w:r>
      <w:r w:rsidR="00511D5E">
        <w:rPr>
          <w:color w:val="000000" w:themeColor="text1"/>
          <w:kern w:val="2"/>
          <w14:ligatures w14:val="standardContextual"/>
        </w:rPr>
        <w:t xml:space="preserve">equipment and services. </w:t>
      </w:r>
    </w:p>
    <w:p w14:paraId="3A8B837D" w14:textId="1D73830B" w:rsidR="00022B0F" w:rsidRPr="00022B0F" w:rsidRDefault="00022B0F" w:rsidP="00022B0F">
      <w:pPr>
        <w:jc w:val="both"/>
        <w:rPr>
          <w:rFonts w:ascii="Arial" w:hAnsi="Arial" w:cs="Arial"/>
          <w:b/>
          <w:bCs/>
          <w:color w:val="002060"/>
          <w:u w:val="single"/>
          <w:lang w:eastAsia="es-ES"/>
        </w:rPr>
      </w:pPr>
      <w:r w:rsidRPr="00022B0F">
        <w:rPr>
          <w:rFonts w:ascii="Arial" w:hAnsi="Arial" w:cs="Arial"/>
          <w:b/>
          <w:bCs/>
          <w:color w:val="002060"/>
          <w:u w:val="single"/>
          <w:lang w:eastAsia="es-ES"/>
        </w:rPr>
        <w:t>Good practices:</w:t>
      </w:r>
    </w:p>
    <w:p w14:paraId="7D37A332" w14:textId="1A4ECAAF" w:rsidR="005552A0" w:rsidRDefault="003945F2" w:rsidP="005552A0">
      <w:pPr>
        <w:jc w:val="both"/>
        <w:rPr>
          <w:b/>
          <w:bCs/>
          <w:color w:val="000000" w:themeColor="text1"/>
          <w:kern w:val="2"/>
          <w:lang w:val="en-US"/>
          <w14:ligatures w14:val="standardContextual"/>
        </w:rPr>
      </w:pPr>
      <w:r>
        <w:rPr>
          <w:b/>
          <w:bCs/>
          <w:color w:val="000000" w:themeColor="text1"/>
          <w:kern w:val="2"/>
          <w:lang w:val="en-US"/>
          <w14:ligatures w14:val="standardContextual"/>
        </w:rPr>
        <w:t xml:space="preserve">ESG and </w:t>
      </w:r>
      <w:r w:rsidR="005552A0">
        <w:rPr>
          <w:b/>
          <w:bCs/>
          <w:color w:val="000000" w:themeColor="text1"/>
          <w:kern w:val="2"/>
          <w:lang w:val="en-US"/>
          <w14:ligatures w14:val="standardContextual"/>
        </w:rPr>
        <w:t>Responsible mining</w:t>
      </w:r>
    </w:p>
    <w:p w14:paraId="4F47279B" w14:textId="386DCEC2" w:rsidR="00CE1E6F" w:rsidRDefault="00CE1E6F" w:rsidP="00CE1E6F">
      <w:pPr>
        <w:pStyle w:val="ListParagraph"/>
        <w:numPr>
          <w:ilvl w:val="0"/>
          <w:numId w:val="16"/>
        </w:numPr>
        <w:jc w:val="both"/>
      </w:pPr>
      <w:r>
        <w:t xml:space="preserve">The diversification fund </w:t>
      </w:r>
      <w:r>
        <w:t xml:space="preserve">of </w:t>
      </w:r>
      <w:proofErr w:type="spellStart"/>
      <w:r>
        <w:t>Zinkgruvan</w:t>
      </w:r>
      <w:proofErr w:type="spellEnd"/>
      <w:r>
        <w:t xml:space="preserve"> </w:t>
      </w:r>
      <w:r>
        <w:t xml:space="preserve">is a leading practice to promote </w:t>
      </w:r>
      <w:r w:rsidR="00CE133F">
        <w:t xml:space="preserve">local growth beyond mining. It is co-managed with </w:t>
      </w:r>
      <w:r>
        <w:t xml:space="preserve">the municipal government to </w:t>
      </w:r>
      <w:r w:rsidR="00CE133F">
        <w:t>provide</w:t>
      </w:r>
      <w:r>
        <w:t xml:space="preserve"> fund mentorship, business planning, and training</w:t>
      </w:r>
      <w:r w:rsidR="00CE133F">
        <w:t xml:space="preserve"> for entrepreneurs and companies in the region</w:t>
      </w:r>
      <w:r>
        <w:t>. Forty companies have benefited from the program, which proved particularly valuable during the pandemic.</w:t>
      </w:r>
    </w:p>
    <w:p w14:paraId="59B1248B" w14:textId="15196DE0" w:rsidR="001A3604" w:rsidRDefault="006A4509" w:rsidP="005552A0">
      <w:pPr>
        <w:jc w:val="both"/>
        <w:rPr>
          <w:b/>
          <w:bCs/>
          <w:color w:val="000000" w:themeColor="text1"/>
          <w:kern w:val="2"/>
          <w:lang w:val="en-US"/>
          <w14:ligatures w14:val="standardContextual"/>
        </w:rPr>
      </w:pPr>
      <w:r>
        <w:rPr>
          <w:b/>
          <w:bCs/>
          <w:color w:val="000000" w:themeColor="text1"/>
          <w:kern w:val="2"/>
          <w:lang w:val="en-US"/>
          <w14:ligatures w14:val="standardContextual"/>
        </w:rPr>
        <w:t xml:space="preserve">Governance and </w:t>
      </w:r>
      <w:r w:rsidR="00FC5524">
        <w:rPr>
          <w:b/>
          <w:bCs/>
          <w:color w:val="000000" w:themeColor="text1"/>
          <w:kern w:val="2"/>
          <w:lang w:val="en-US"/>
          <w14:ligatures w14:val="standardContextual"/>
        </w:rPr>
        <w:t>Innovation ecosystem</w:t>
      </w:r>
    </w:p>
    <w:p w14:paraId="20FBAA19" w14:textId="1D024D23" w:rsidR="001C25B7" w:rsidRPr="001C25B7" w:rsidRDefault="001C25B7" w:rsidP="00FC5524">
      <w:pPr>
        <w:pStyle w:val="ListParagraph"/>
        <w:numPr>
          <w:ilvl w:val="0"/>
          <w:numId w:val="16"/>
        </w:numPr>
        <w:jc w:val="both"/>
        <w:rPr>
          <w:color w:val="000000" w:themeColor="text1"/>
          <w:kern w:val="2"/>
          <w:lang w:val="en-US"/>
          <w14:ligatures w14:val="standardContextual"/>
        </w:rPr>
      </w:pPr>
      <w:r>
        <w:rPr>
          <w:color w:val="000000" w:themeColor="text1"/>
          <w:kern w:val="2"/>
          <w:lang w:val="en-US"/>
          <w14:ligatures w14:val="standardContextual"/>
        </w:rPr>
        <w:t>T</w:t>
      </w:r>
      <w:r w:rsidR="004B601C">
        <w:rPr>
          <w:color w:val="000000" w:themeColor="text1"/>
          <w:kern w:val="2"/>
          <w:lang w:val="en-US"/>
          <w14:ligatures w14:val="standardContextual"/>
        </w:rPr>
        <w:t>he regional government</w:t>
      </w:r>
      <w:r w:rsidR="005275C0">
        <w:rPr>
          <w:color w:val="000000" w:themeColor="text1"/>
          <w:kern w:val="2"/>
          <w:lang w:val="en-US"/>
          <w14:ligatures w14:val="standardContextual"/>
        </w:rPr>
        <w:t xml:space="preserve"> is tapping into the </w:t>
      </w:r>
      <w:r w:rsidR="00460C37">
        <w:rPr>
          <w:color w:val="000000" w:themeColor="text1"/>
          <w:kern w:val="2"/>
          <w:lang w:val="en-US"/>
          <w14:ligatures w14:val="standardContextual"/>
        </w:rPr>
        <w:t>University</w:t>
      </w:r>
      <w:r w:rsidR="004B601C">
        <w:rPr>
          <w:color w:val="000000" w:themeColor="text1"/>
          <w:kern w:val="2"/>
          <w:lang w:val="en-US"/>
          <w14:ligatures w14:val="standardContextual"/>
        </w:rPr>
        <w:t xml:space="preserve"> </w:t>
      </w:r>
      <w:r w:rsidR="005275C0">
        <w:rPr>
          <w:color w:val="000000" w:themeColor="text1"/>
          <w:kern w:val="2"/>
          <w:lang w:val="en-US"/>
          <w14:ligatures w14:val="standardContextual"/>
        </w:rPr>
        <w:t>to advance the</w:t>
      </w:r>
      <w:r w:rsidR="004B601C">
        <w:rPr>
          <w:color w:val="000000" w:themeColor="text1"/>
          <w:kern w:val="2"/>
          <w:lang w:val="en-US"/>
          <w14:ligatures w14:val="standardContextual"/>
        </w:rPr>
        <w:t xml:space="preserve"> mining related policy</w:t>
      </w:r>
      <w:r w:rsidR="005275C0">
        <w:rPr>
          <w:color w:val="000000" w:themeColor="text1"/>
          <w:kern w:val="2"/>
          <w:lang w:val="en-US"/>
          <w14:ligatures w14:val="standardContextual"/>
        </w:rPr>
        <w:t xml:space="preserve"> in the </w:t>
      </w:r>
      <w:r w:rsidR="00872381">
        <w:rPr>
          <w:color w:val="000000" w:themeColor="text1"/>
          <w:kern w:val="2"/>
          <w:lang w:val="en-US"/>
          <w14:ligatures w14:val="standardContextual"/>
        </w:rPr>
        <w:t>region</w:t>
      </w:r>
      <w:r w:rsidR="004B601C">
        <w:rPr>
          <w:color w:val="000000" w:themeColor="text1"/>
          <w:kern w:val="2"/>
          <w:lang w:val="en-US"/>
          <w14:ligatures w14:val="standardContextual"/>
        </w:rPr>
        <w:t xml:space="preserve">. This is a good basis for </w:t>
      </w:r>
      <w:r w:rsidR="00460C37">
        <w:rPr>
          <w:color w:val="000000" w:themeColor="text1"/>
          <w:kern w:val="2"/>
          <w:lang w:val="en-US"/>
          <w14:ligatures w14:val="standardContextual"/>
        </w:rPr>
        <w:t xml:space="preserve">more formal collaboration to support regional policy and business ecosystem. </w:t>
      </w:r>
    </w:p>
    <w:p w14:paraId="78F94987" w14:textId="32E0F758" w:rsidR="00872381" w:rsidRPr="00872381" w:rsidRDefault="00D90AA4" w:rsidP="00FC5524">
      <w:pPr>
        <w:pStyle w:val="ListParagraph"/>
        <w:numPr>
          <w:ilvl w:val="0"/>
          <w:numId w:val="16"/>
        </w:numPr>
        <w:jc w:val="both"/>
        <w:rPr>
          <w:color w:val="000000" w:themeColor="text1"/>
          <w:kern w:val="2"/>
          <w:lang w:val="en-US"/>
          <w14:ligatures w14:val="standardContextual"/>
        </w:rPr>
      </w:pPr>
      <w:r>
        <w:rPr>
          <w:color w:val="000000" w:themeColor="text1"/>
          <w:kern w:val="2"/>
          <w:lang w:val="en-US"/>
          <w14:ligatures w14:val="standardContextual"/>
        </w:rPr>
        <w:t xml:space="preserve">The recently created Business Region Orebro </w:t>
      </w:r>
      <w:r w:rsidR="004D3527">
        <w:rPr>
          <w:color w:val="000000" w:themeColor="text1"/>
          <w:kern w:val="2"/>
          <w:lang w:val="en-US"/>
          <w14:ligatures w14:val="standardContextual"/>
        </w:rPr>
        <w:t xml:space="preserve">and the Industrial Hub are useful platforms to connect mining companies, providers, and research centers to address main priorities of the sector for the development of the region.  </w:t>
      </w:r>
      <w:r>
        <w:rPr>
          <w:color w:val="000000" w:themeColor="text1"/>
          <w:kern w:val="2"/>
          <w:lang w:val="en-US"/>
          <w14:ligatures w14:val="standardContextual"/>
        </w:rPr>
        <w:t xml:space="preserve"> </w:t>
      </w:r>
      <w:r w:rsidR="004D3527">
        <w:rPr>
          <w:color w:val="000000" w:themeColor="text1"/>
          <w:kern w:val="2"/>
          <w:lang w:val="en-US"/>
          <w14:ligatures w14:val="standardContextual"/>
        </w:rPr>
        <w:t xml:space="preserve">It is a good basis that need further presence outside Orebro to connect rural business/entrepreneurs. </w:t>
      </w:r>
      <w:r>
        <w:rPr>
          <w:color w:val="000000" w:themeColor="text1"/>
          <w:kern w:val="2"/>
          <w:lang w:val="en-US"/>
          <w14:ligatures w14:val="standardContextual"/>
        </w:rPr>
        <w:t xml:space="preserve"> </w:t>
      </w:r>
    </w:p>
    <w:p w14:paraId="01531394" w14:textId="0932B292" w:rsidR="00FC5524" w:rsidRPr="00F8214A" w:rsidRDefault="00FC5524" w:rsidP="00FC5524">
      <w:pPr>
        <w:pStyle w:val="ListParagraph"/>
        <w:numPr>
          <w:ilvl w:val="0"/>
          <w:numId w:val="16"/>
        </w:numPr>
        <w:jc w:val="both"/>
        <w:rPr>
          <w:color w:val="000000" w:themeColor="text1"/>
          <w:kern w:val="2"/>
          <w:lang w:val="en-US"/>
          <w14:ligatures w14:val="standardContextual"/>
        </w:rPr>
      </w:pPr>
      <w:r w:rsidRPr="00396A67">
        <w:rPr>
          <w:rFonts w:ascii="Calibri" w:eastAsia="Times New Roman" w:hAnsi="Calibri" w:cs="Calibri"/>
        </w:rPr>
        <w:t>REEDEAM project, funded by the KK-</w:t>
      </w:r>
      <w:proofErr w:type="spellStart"/>
      <w:r w:rsidRPr="00396A67">
        <w:rPr>
          <w:rFonts w:ascii="Calibri" w:eastAsia="Times New Roman" w:hAnsi="Calibri" w:cs="Calibri"/>
        </w:rPr>
        <w:t>Stiftelsen</w:t>
      </w:r>
      <w:proofErr w:type="spellEnd"/>
      <w:r w:rsidRPr="00396A67">
        <w:rPr>
          <w:rFonts w:ascii="Calibri" w:eastAsia="Times New Roman" w:hAnsi="Calibri" w:cs="Calibri"/>
        </w:rPr>
        <w:t xml:space="preserve"> (Knowledge Foundation), where three universities in </w:t>
      </w:r>
      <w:proofErr w:type="spellStart"/>
      <w:r w:rsidRPr="00396A67">
        <w:rPr>
          <w:rFonts w:ascii="Calibri" w:eastAsia="Times New Roman" w:hAnsi="Calibri" w:cs="Calibri"/>
        </w:rPr>
        <w:t>Örebro</w:t>
      </w:r>
      <w:proofErr w:type="spellEnd"/>
      <w:r w:rsidRPr="00396A67">
        <w:rPr>
          <w:rFonts w:ascii="Calibri" w:eastAsia="Times New Roman" w:hAnsi="Calibri" w:cs="Calibri"/>
        </w:rPr>
        <w:t xml:space="preserve">, </w:t>
      </w:r>
      <w:proofErr w:type="spellStart"/>
      <w:r w:rsidRPr="00396A67">
        <w:rPr>
          <w:rFonts w:ascii="Calibri" w:eastAsia="Times New Roman" w:hAnsi="Calibri" w:cs="Calibri"/>
        </w:rPr>
        <w:t>Västerås</w:t>
      </w:r>
      <w:proofErr w:type="spellEnd"/>
      <w:r w:rsidRPr="00396A67">
        <w:rPr>
          <w:rFonts w:ascii="Calibri" w:eastAsia="Times New Roman" w:hAnsi="Calibri" w:cs="Calibri"/>
        </w:rPr>
        <w:t xml:space="preserve"> and Luleå work together with industry to create courses for professionals on advanced level to support the green transition</w:t>
      </w:r>
      <w:r w:rsidR="00F8214A">
        <w:rPr>
          <w:rFonts w:ascii="Calibri" w:eastAsia="Times New Roman" w:hAnsi="Calibri" w:cs="Calibri"/>
        </w:rPr>
        <w:t>.</w:t>
      </w:r>
    </w:p>
    <w:p w14:paraId="1E8C279F" w14:textId="4B0DB11A" w:rsidR="00F8214A" w:rsidRDefault="00F8214A" w:rsidP="00FC5524">
      <w:pPr>
        <w:pStyle w:val="ListParagraph"/>
        <w:numPr>
          <w:ilvl w:val="0"/>
          <w:numId w:val="16"/>
        </w:numPr>
        <w:jc w:val="both"/>
        <w:rPr>
          <w:color w:val="000000" w:themeColor="text1"/>
          <w:kern w:val="2"/>
          <w:lang w:val="en-US"/>
          <w14:ligatures w14:val="standardContextual"/>
        </w:rPr>
      </w:pPr>
      <w:r w:rsidRPr="00F8214A">
        <w:rPr>
          <w:color w:val="000000" w:themeColor="text1"/>
          <w:kern w:val="2"/>
          <w:lang w:val="en-US"/>
          <w14:ligatures w14:val="standardContextual"/>
        </w:rPr>
        <w:t xml:space="preserve">The EU-funded </w:t>
      </w:r>
      <w:proofErr w:type="spellStart"/>
      <w:r w:rsidRPr="00F8214A">
        <w:rPr>
          <w:color w:val="000000" w:themeColor="text1"/>
          <w:kern w:val="2"/>
          <w:lang w:val="en-US"/>
          <w14:ligatures w14:val="standardContextual"/>
        </w:rPr>
        <w:t>FutuRaM</w:t>
      </w:r>
      <w:proofErr w:type="spellEnd"/>
      <w:r w:rsidRPr="00F8214A">
        <w:rPr>
          <w:color w:val="000000" w:themeColor="text1"/>
          <w:kern w:val="2"/>
          <w:lang w:val="en-US"/>
          <w14:ligatures w14:val="standardContextual"/>
        </w:rPr>
        <w:t xml:space="preserve"> project aims to </w:t>
      </w:r>
      <w:r w:rsidR="0012000A">
        <w:rPr>
          <w:color w:val="000000" w:themeColor="text1"/>
          <w:kern w:val="2"/>
          <w:lang w:val="en-US"/>
          <w14:ligatures w14:val="standardContextual"/>
        </w:rPr>
        <w:t xml:space="preserve">improve knowledge and data about </w:t>
      </w:r>
      <w:r w:rsidR="00D40DB1" w:rsidRPr="00D40DB1">
        <w:rPr>
          <w:color w:val="000000" w:themeColor="text1"/>
          <w:kern w:val="2"/>
          <w:lang w:val="en-US"/>
          <w14:ligatures w14:val="standardContextual"/>
        </w:rPr>
        <w:t>recoverability and availability</w:t>
      </w:r>
      <w:r w:rsidR="00D40DB1" w:rsidRPr="00D40DB1">
        <w:rPr>
          <w:color w:val="000000" w:themeColor="text1"/>
          <w:kern w:val="2"/>
          <w:lang w:val="en-US"/>
          <w14:ligatures w14:val="standardContextual"/>
        </w:rPr>
        <w:t xml:space="preserve"> of minerals with </w:t>
      </w:r>
      <w:r w:rsidRPr="00F8214A">
        <w:rPr>
          <w:color w:val="000000" w:themeColor="text1"/>
          <w:kern w:val="2"/>
          <w:lang w:val="en-US"/>
          <w14:ligatures w14:val="standardContextual"/>
        </w:rPr>
        <w:t>a reporting structure</w:t>
      </w:r>
      <w:r w:rsidR="00847466">
        <w:rPr>
          <w:color w:val="000000" w:themeColor="text1"/>
          <w:kern w:val="2"/>
          <w:lang w:val="en-US"/>
          <w14:ligatures w14:val="standardContextual"/>
        </w:rPr>
        <w:t>,</w:t>
      </w:r>
      <w:r w:rsidRPr="00F8214A">
        <w:rPr>
          <w:color w:val="000000" w:themeColor="text1"/>
          <w:kern w:val="2"/>
          <w:lang w:val="en-US"/>
          <w14:ligatures w14:val="standardContextual"/>
        </w:rPr>
        <w:t xml:space="preserve"> guidelines for raw materials’ use</w:t>
      </w:r>
      <w:r w:rsidR="00847466">
        <w:rPr>
          <w:color w:val="000000" w:themeColor="text1"/>
          <w:kern w:val="2"/>
          <w:lang w:val="en-US"/>
          <w14:ligatures w14:val="standardContextual"/>
        </w:rPr>
        <w:t xml:space="preserve"> and a standard method to identify mining waste</w:t>
      </w:r>
      <w:r w:rsidR="00A82FE7">
        <w:rPr>
          <w:color w:val="000000" w:themeColor="text1"/>
          <w:kern w:val="2"/>
          <w:lang w:val="en-US"/>
          <w14:ligatures w14:val="standardContextual"/>
        </w:rPr>
        <w:t xml:space="preserve">. </w:t>
      </w:r>
    </w:p>
    <w:p w14:paraId="59ABA466" w14:textId="77777777" w:rsidR="00FC5524" w:rsidRPr="00FC5524" w:rsidRDefault="00FC5524" w:rsidP="00FC5524">
      <w:pPr>
        <w:jc w:val="both"/>
        <w:rPr>
          <w:color w:val="000000" w:themeColor="text1"/>
          <w:kern w:val="2"/>
          <w:lang w:val="en-US"/>
          <w14:ligatures w14:val="standardContextual"/>
        </w:rPr>
      </w:pPr>
    </w:p>
    <w:sectPr w:rsidR="00FC5524" w:rsidRPr="00FC5524" w:rsidSect="00230D8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E09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A1E60"/>
    <w:multiLevelType w:val="hybridMultilevel"/>
    <w:tmpl w:val="265A9766"/>
    <w:lvl w:ilvl="0" w:tplc="56A806C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C5F"/>
    <w:multiLevelType w:val="hybridMultilevel"/>
    <w:tmpl w:val="D35E51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F53"/>
    <w:multiLevelType w:val="hybridMultilevel"/>
    <w:tmpl w:val="C78CE1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6F05"/>
    <w:multiLevelType w:val="hybridMultilevel"/>
    <w:tmpl w:val="B4FCA1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F0722"/>
    <w:multiLevelType w:val="hybridMultilevel"/>
    <w:tmpl w:val="921CCDA6"/>
    <w:lvl w:ilvl="0" w:tplc="040B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6" w15:restartNumberingAfterBreak="0">
    <w:nsid w:val="2EC570F4"/>
    <w:multiLevelType w:val="hybridMultilevel"/>
    <w:tmpl w:val="20A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1EE8"/>
    <w:multiLevelType w:val="hybridMultilevel"/>
    <w:tmpl w:val="CD2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624F"/>
    <w:multiLevelType w:val="hybridMultilevel"/>
    <w:tmpl w:val="C0AC17E4"/>
    <w:lvl w:ilvl="0" w:tplc="56A806C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E7665"/>
    <w:multiLevelType w:val="hybridMultilevel"/>
    <w:tmpl w:val="0D3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48B7"/>
    <w:multiLevelType w:val="hybridMultilevel"/>
    <w:tmpl w:val="93E2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5FB6"/>
    <w:multiLevelType w:val="hybridMultilevel"/>
    <w:tmpl w:val="4CFC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4E90"/>
    <w:multiLevelType w:val="hybridMultilevel"/>
    <w:tmpl w:val="633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91D06"/>
    <w:multiLevelType w:val="hybridMultilevel"/>
    <w:tmpl w:val="3466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92037"/>
    <w:multiLevelType w:val="hybridMultilevel"/>
    <w:tmpl w:val="3FD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E4D41"/>
    <w:multiLevelType w:val="hybridMultilevel"/>
    <w:tmpl w:val="13CE174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118D7"/>
    <w:multiLevelType w:val="hybridMultilevel"/>
    <w:tmpl w:val="325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81576">
    <w:abstractNumId w:val="0"/>
  </w:num>
  <w:num w:numId="2" w16cid:durableId="1884440158">
    <w:abstractNumId w:val="13"/>
  </w:num>
  <w:num w:numId="3" w16cid:durableId="903568000">
    <w:abstractNumId w:val="8"/>
  </w:num>
  <w:num w:numId="4" w16cid:durableId="1482036155">
    <w:abstractNumId w:val="1"/>
  </w:num>
  <w:num w:numId="5" w16cid:durableId="2139034104">
    <w:abstractNumId w:val="2"/>
  </w:num>
  <w:num w:numId="6" w16cid:durableId="1645350464">
    <w:abstractNumId w:val="15"/>
  </w:num>
  <w:num w:numId="7" w16cid:durableId="629478314">
    <w:abstractNumId w:val="4"/>
  </w:num>
  <w:num w:numId="8" w16cid:durableId="1009064561">
    <w:abstractNumId w:val="5"/>
  </w:num>
  <w:num w:numId="9" w16cid:durableId="956447074">
    <w:abstractNumId w:val="3"/>
  </w:num>
  <w:num w:numId="10" w16cid:durableId="1544555344">
    <w:abstractNumId w:val="7"/>
  </w:num>
  <w:num w:numId="11" w16cid:durableId="153685028">
    <w:abstractNumId w:val="16"/>
  </w:num>
  <w:num w:numId="12" w16cid:durableId="617444218">
    <w:abstractNumId w:val="12"/>
  </w:num>
  <w:num w:numId="13" w16cid:durableId="409619535">
    <w:abstractNumId w:val="9"/>
  </w:num>
  <w:num w:numId="14" w16cid:durableId="1393116553">
    <w:abstractNumId w:val="14"/>
  </w:num>
  <w:num w:numId="15" w16cid:durableId="709299982">
    <w:abstractNumId w:val="11"/>
  </w:num>
  <w:num w:numId="16" w16cid:durableId="773476818">
    <w:abstractNumId w:val="6"/>
  </w:num>
  <w:num w:numId="17" w16cid:durableId="561408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ECDDocumentId" w:val="E1BF9C220B4A5506D2157515B4B6A034ED50803BA0573D0913755B3E33783551"/>
  </w:docVars>
  <w:rsids>
    <w:rsidRoot w:val="001431C9"/>
    <w:rsid w:val="00014CC7"/>
    <w:rsid w:val="00016B14"/>
    <w:rsid w:val="00022B0F"/>
    <w:rsid w:val="0002530B"/>
    <w:rsid w:val="000400CB"/>
    <w:rsid w:val="00041D86"/>
    <w:rsid w:val="00042138"/>
    <w:rsid w:val="000434C6"/>
    <w:rsid w:val="00052D8A"/>
    <w:rsid w:val="000548BF"/>
    <w:rsid w:val="0006133D"/>
    <w:rsid w:val="00072BAF"/>
    <w:rsid w:val="000861F0"/>
    <w:rsid w:val="00090304"/>
    <w:rsid w:val="00096CAE"/>
    <w:rsid w:val="00097D4D"/>
    <w:rsid w:val="000A0911"/>
    <w:rsid w:val="000B02BB"/>
    <w:rsid w:val="000B5E9E"/>
    <w:rsid w:val="000E1276"/>
    <w:rsid w:val="00100A99"/>
    <w:rsid w:val="001014DD"/>
    <w:rsid w:val="0012000A"/>
    <w:rsid w:val="001217BE"/>
    <w:rsid w:val="001258FA"/>
    <w:rsid w:val="001303A5"/>
    <w:rsid w:val="00134A07"/>
    <w:rsid w:val="00135E91"/>
    <w:rsid w:val="001401F5"/>
    <w:rsid w:val="001431C9"/>
    <w:rsid w:val="00144B8E"/>
    <w:rsid w:val="00157687"/>
    <w:rsid w:val="00164055"/>
    <w:rsid w:val="001723B0"/>
    <w:rsid w:val="0018025A"/>
    <w:rsid w:val="00181EC8"/>
    <w:rsid w:val="001921CD"/>
    <w:rsid w:val="0019272C"/>
    <w:rsid w:val="00196058"/>
    <w:rsid w:val="001979C5"/>
    <w:rsid w:val="001A3604"/>
    <w:rsid w:val="001A360B"/>
    <w:rsid w:val="001A54B1"/>
    <w:rsid w:val="001B71B3"/>
    <w:rsid w:val="001C25B7"/>
    <w:rsid w:val="001C6879"/>
    <w:rsid w:val="001D5D0C"/>
    <w:rsid w:val="001E1500"/>
    <w:rsid w:val="001E7C8F"/>
    <w:rsid w:val="002004C4"/>
    <w:rsid w:val="00210F28"/>
    <w:rsid w:val="00220168"/>
    <w:rsid w:val="00230D85"/>
    <w:rsid w:val="00235515"/>
    <w:rsid w:val="0024676E"/>
    <w:rsid w:val="00251393"/>
    <w:rsid w:val="00254985"/>
    <w:rsid w:val="00267B85"/>
    <w:rsid w:val="0027662E"/>
    <w:rsid w:val="00281EF2"/>
    <w:rsid w:val="00294644"/>
    <w:rsid w:val="002A22C7"/>
    <w:rsid w:val="002C2296"/>
    <w:rsid w:val="002C3642"/>
    <w:rsid w:val="002C6A17"/>
    <w:rsid w:val="002D0009"/>
    <w:rsid w:val="002D20D3"/>
    <w:rsid w:val="002D2D7C"/>
    <w:rsid w:val="002D4DBA"/>
    <w:rsid w:val="002E064E"/>
    <w:rsid w:val="002E561E"/>
    <w:rsid w:val="002F005B"/>
    <w:rsid w:val="0030095B"/>
    <w:rsid w:val="00304316"/>
    <w:rsid w:val="0031010B"/>
    <w:rsid w:val="00322C3D"/>
    <w:rsid w:val="0034602F"/>
    <w:rsid w:val="0035085A"/>
    <w:rsid w:val="003546AC"/>
    <w:rsid w:val="0035708A"/>
    <w:rsid w:val="0036249B"/>
    <w:rsid w:val="00362FE7"/>
    <w:rsid w:val="0037490F"/>
    <w:rsid w:val="00376B13"/>
    <w:rsid w:val="00382964"/>
    <w:rsid w:val="00390D53"/>
    <w:rsid w:val="003945F2"/>
    <w:rsid w:val="003A3424"/>
    <w:rsid w:val="003A56C5"/>
    <w:rsid w:val="003B3DCE"/>
    <w:rsid w:val="003B612C"/>
    <w:rsid w:val="003B7D12"/>
    <w:rsid w:val="003C0B1C"/>
    <w:rsid w:val="003C3207"/>
    <w:rsid w:val="003D0123"/>
    <w:rsid w:val="003E037B"/>
    <w:rsid w:val="003F466F"/>
    <w:rsid w:val="00415720"/>
    <w:rsid w:val="00423776"/>
    <w:rsid w:val="00425F8D"/>
    <w:rsid w:val="00426945"/>
    <w:rsid w:val="00441E5D"/>
    <w:rsid w:val="0044244D"/>
    <w:rsid w:val="00446482"/>
    <w:rsid w:val="00454111"/>
    <w:rsid w:val="00460C37"/>
    <w:rsid w:val="004729A4"/>
    <w:rsid w:val="004951F1"/>
    <w:rsid w:val="004B1944"/>
    <w:rsid w:val="004B5EF0"/>
    <w:rsid w:val="004B601C"/>
    <w:rsid w:val="004C0055"/>
    <w:rsid w:val="004C0E26"/>
    <w:rsid w:val="004D3527"/>
    <w:rsid w:val="004E4B0E"/>
    <w:rsid w:val="004F7659"/>
    <w:rsid w:val="00501F97"/>
    <w:rsid w:val="00511D5E"/>
    <w:rsid w:val="00522C56"/>
    <w:rsid w:val="00525510"/>
    <w:rsid w:val="005275C0"/>
    <w:rsid w:val="00530EF4"/>
    <w:rsid w:val="005324FC"/>
    <w:rsid w:val="005354B2"/>
    <w:rsid w:val="005430A2"/>
    <w:rsid w:val="0055344D"/>
    <w:rsid w:val="005552A0"/>
    <w:rsid w:val="00556180"/>
    <w:rsid w:val="005626BB"/>
    <w:rsid w:val="0056600D"/>
    <w:rsid w:val="00566899"/>
    <w:rsid w:val="00570626"/>
    <w:rsid w:val="00572A2D"/>
    <w:rsid w:val="00580649"/>
    <w:rsid w:val="005948E0"/>
    <w:rsid w:val="00594E44"/>
    <w:rsid w:val="005A303B"/>
    <w:rsid w:val="005B0A13"/>
    <w:rsid w:val="005B5F3D"/>
    <w:rsid w:val="005C2163"/>
    <w:rsid w:val="005C5A6F"/>
    <w:rsid w:val="005C5EED"/>
    <w:rsid w:val="005C702B"/>
    <w:rsid w:val="005C7BF7"/>
    <w:rsid w:val="005D05AC"/>
    <w:rsid w:val="005D0A86"/>
    <w:rsid w:val="005D1B17"/>
    <w:rsid w:val="005E3720"/>
    <w:rsid w:val="005E67C9"/>
    <w:rsid w:val="005E6977"/>
    <w:rsid w:val="005F2E09"/>
    <w:rsid w:val="00614F03"/>
    <w:rsid w:val="006302AD"/>
    <w:rsid w:val="0064256B"/>
    <w:rsid w:val="00647C85"/>
    <w:rsid w:val="0065164D"/>
    <w:rsid w:val="00664F75"/>
    <w:rsid w:val="006658E3"/>
    <w:rsid w:val="00675EFE"/>
    <w:rsid w:val="006777F6"/>
    <w:rsid w:val="00677AE5"/>
    <w:rsid w:val="0069254A"/>
    <w:rsid w:val="006A4509"/>
    <w:rsid w:val="006A49A3"/>
    <w:rsid w:val="006A5F2F"/>
    <w:rsid w:val="006B03CF"/>
    <w:rsid w:val="006B0BC7"/>
    <w:rsid w:val="006B1D77"/>
    <w:rsid w:val="006B5A7C"/>
    <w:rsid w:val="006F6F8E"/>
    <w:rsid w:val="006F769B"/>
    <w:rsid w:val="0070174D"/>
    <w:rsid w:val="00715409"/>
    <w:rsid w:val="00716056"/>
    <w:rsid w:val="00717821"/>
    <w:rsid w:val="00741CA0"/>
    <w:rsid w:val="00741F5D"/>
    <w:rsid w:val="00743BDA"/>
    <w:rsid w:val="00745181"/>
    <w:rsid w:val="007460EB"/>
    <w:rsid w:val="007619A6"/>
    <w:rsid w:val="00775A03"/>
    <w:rsid w:val="00780D5B"/>
    <w:rsid w:val="00787395"/>
    <w:rsid w:val="00787737"/>
    <w:rsid w:val="00790677"/>
    <w:rsid w:val="00796BB4"/>
    <w:rsid w:val="007A20C2"/>
    <w:rsid w:val="007A2E7B"/>
    <w:rsid w:val="007C4F30"/>
    <w:rsid w:val="007D7941"/>
    <w:rsid w:val="007E04C5"/>
    <w:rsid w:val="007E317C"/>
    <w:rsid w:val="00804AD1"/>
    <w:rsid w:val="00805546"/>
    <w:rsid w:val="00814F54"/>
    <w:rsid w:val="008219DA"/>
    <w:rsid w:val="00832B98"/>
    <w:rsid w:val="00833D04"/>
    <w:rsid w:val="00835AC6"/>
    <w:rsid w:val="00837BBC"/>
    <w:rsid w:val="00845890"/>
    <w:rsid w:val="00847466"/>
    <w:rsid w:val="008547C0"/>
    <w:rsid w:val="00862E25"/>
    <w:rsid w:val="00867847"/>
    <w:rsid w:val="00872381"/>
    <w:rsid w:val="00876869"/>
    <w:rsid w:val="00876895"/>
    <w:rsid w:val="00882CF8"/>
    <w:rsid w:val="00887D93"/>
    <w:rsid w:val="008A1677"/>
    <w:rsid w:val="008A3770"/>
    <w:rsid w:val="008A6AEB"/>
    <w:rsid w:val="008B6762"/>
    <w:rsid w:val="008D219E"/>
    <w:rsid w:val="008E4F20"/>
    <w:rsid w:val="008F2A6F"/>
    <w:rsid w:val="009018B3"/>
    <w:rsid w:val="00907318"/>
    <w:rsid w:val="00910923"/>
    <w:rsid w:val="00920D5A"/>
    <w:rsid w:val="00927BC9"/>
    <w:rsid w:val="00932D67"/>
    <w:rsid w:val="00933497"/>
    <w:rsid w:val="009349F1"/>
    <w:rsid w:val="00934E6B"/>
    <w:rsid w:val="0094122D"/>
    <w:rsid w:val="009458C1"/>
    <w:rsid w:val="00945A22"/>
    <w:rsid w:val="009534D2"/>
    <w:rsid w:val="00972DD3"/>
    <w:rsid w:val="009732DD"/>
    <w:rsid w:val="00980F45"/>
    <w:rsid w:val="00991AFA"/>
    <w:rsid w:val="009B2C08"/>
    <w:rsid w:val="009E11AF"/>
    <w:rsid w:val="009E7826"/>
    <w:rsid w:val="009F101D"/>
    <w:rsid w:val="009F44E0"/>
    <w:rsid w:val="00A10379"/>
    <w:rsid w:val="00A16CDE"/>
    <w:rsid w:val="00A17E8E"/>
    <w:rsid w:val="00A24A14"/>
    <w:rsid w:val="00A2510E"/>
    <w:rsid w:val="00A300DC"/>
    <w:rsid w:val="00A30246"/>
    <w:rsid w:val="00A30BA1"/>
    <w:rsid w:val="00A45306"/>
    <w:rsid w:val="00A45EC0"/>
    <w:rsid w:val="00A47393"/>
    <w:rsid w:val="00A63DF1"/>
    <w:rsid w:val="00A75579"/>
    <w:rsid w:val="00A82FE7"/>
    <w:rsid w:val="00A863E4"/>
    <w:rsid w:val="00A9072E"/>
    <w:rsid w:val="00AA7DA7"/>
    <w:rsid w:val="00AB5E1E"/>
    <w:rsid w:val="00AB62CD"/>
    <w:rsid w:val="00AC7A50"/>
    <w:rsid w:val="00AD0580"/>
    <w:rsid w:val="00AD3DE5"/>
    <w:rsid w:val="00AD69EF"/>
    <w:rsid w:val="00AE6B26"/>
    <w:rsid w:val="00AF3967"/>
    <w:rsid w:val="00AF421F"/>
    <w:rsid w:val="00AF7039"/>
    <w:rsid w:val="00B05763"/>
    <w:rsid w:val="00B07D5D"/>
    <w:rsid w:val="00B1098D"/>
    <w:rsid w:val="00B10EF2"/>
    <w:rsid w:val="00B118B3"/>
    <w:rsid w:val="00B14D98"/>
    <w:rsid w:val="00B474A0"/>
    <w:rsid w:val="00B478C2"/>
    <w:rsid w:val="00B539FC"/>
    <w:rsid w:val="00B567D8"/>
    <w:rsid w:val="00B732C9"/>
    <w:rsid w:val="00B77B75"/>
    <w:rsid w:val="00B832BD"/>
    <w:rsid w:val="00B83D9A"/>
    <w:rsid w:val="00B95CAB"/>
    <w:rsid w:val="00B979B9"/>
    <w:rsid w:val="00BA7161"/>
    <w:rsid w:val="00BB1B48"/>
    <w:rsid w:val="00BC7C6E"/>
    <w:rsid w:val="00BD319A"/>
    <w:rsid w:val="00BD35EA"/>
    <w:rsid w:val="00BE1823"/>
    <w:rsid w:val="00BE4364"/>
    <w:rsid w:val="00BE6393"/>
    <w:rsid w:val="00BE6B14"/>
    <w:rsid w:val="00BF3020"/>
    <w:rsid w:val="00C01718"/>
    <w:rsid w:val="00C07E2D"/>
    <w:rsid w:val="00C1744F"/>
    <w:rsid w:val="00C17B28"/>
    <w:rsid w:val="00C25652"/>
    <w:rsid w:val="00C30F5D"/>
    <w:rsid w:val="00C36B80"/>
    <w:rsid w:val="00C40739"/>
    <w:rsid w:val="00C4738E"/>
    <w:rsid w:val="00C50AF1"/>
    <w:rsid w:val="00C53B28"/>
    <w:rsid w:val="00C72CC7"/>
    <w:rsid w:val="00C84AF7"/>
    <w:rsid w:val="00C954C0"/>
    <w:rsid w:val="00CB5E81"/>
    <w:rsid w:val="00CC5DE6"/>
    <w:rsid w:val="00CE133F"/>
    <w:rsid w:val="00CE1E6F"/>
    <w:rsid w:val="00CE3F95"/>
    <w:rsid w:val="00CE403E"/>
    <w:rsid w:val="00CE5443"/>
    <w:rsid w:val="00CE73FB"/>
    <w:rsid w:val="00CF24CE"/>
    <w:rsid w:val="00CF68CD"/>
    <w:rsid w:val="00D0472E"/>
    <w:rsid w:val="00D04CC7"/>
    <w:rsid w:val="00D10F17"/>
    <w:rsid w:val="00D13710"/>
    <w:rsid w:val="00D20990"/>
    <w:rsid w:val="00D2331C"/>
    <w:rsid w:val="00D244E4"/>
    <w:rsid w:val="00D25045"/>
    <w:rsid w:val="00D25B17"/>
    <w:rsid w:val="00D37B76"/>
    <w:rsid w:val="00D40DB1"/>
    <w:rsid w:val="00D44813"/>
    <w:rsid w:val="00D52FA4"/>
    <w:rsid w:val="00D53F20"/>
    <w:rsid w:val="00D5403E"/>
    <w:rsid w:val="00D56300"/>
    <w:rsid w:val="00D57D91"/>
    <w:rsid w:val="00D60393"/>
    <w:rsid w:val="00D70901"/>
    <w:rsid w:val="00D75FF4"/>
    <w:rsid w:val="00D876BB"/>
    <w:rsid w:val="00D90AA4"/>
    <w:rsid w:val="00D958A0"/>
    <w:rsid w:val="00DA2D27"/>
    <w:rsid w:val="00DB6CB2"/>
    <w:rsid w:val="00DC267E"/>
    <w:rsid w:val="00DC29AA"/>
    <w:rsid w:val="00DE4AFF"/>
    <w:rsid w:val="00DE516C"/>
    <w:rsid w:val="00DE7EE2"/>
    <w:rsid w:val="00DF4181"/>
    <w:rsid w:val="00DF6436"/>
    <w:rsid w:val="00DF7EA3"/>
    <w:rsid w:val="00E05942"/>
    <w:rsid w:val="00E1474B"/>
    <w:rsid w:val="00E20CE7"/>
    <w:rsid w:val="00E24BC4"/>
    <w:rsid w:val="00E34EF3"/>
    <w:rsid w:val="00E4580A"/>
    <w:rsid w:val="00E564F8"/>
    <w:rsid w:val="00E6753E"/>
    <w:rsid w:val="00E73D51"/>
    <w:rsid w:val="00E93986"/>
    <w:rsid w:val="00EC3F6B"/>
    <w:rsid w:val="00ED1331"/>
    <w:rsid w:val="00EE1FE9"/>
    <w:rsid w:val="00EE2617"/>
    <w:rsid w:val="00EF165E"/>
    <w:rsid w:val="00F039EE"/>
    <w:rsid w:val="00F0502E"/>
    <w:rsid w:val="00F05130"/>
    <w:rsid w:val="00F0755A"/>
    <w:rsid w:val="00F10900"/>
    <w:rsid w:val="00F10B05"/>
    <w:rsid w:val="00F22E53"/>
    <w:rsid w:val="00F2545D"/>
    <w:rsid w:val="00F27A0D"/>
    <w:rsid w:val="00F50F9E"/>
    <w:rsid w:val="00F53C01"/>
    <w:rsid w:val="00F723AC"/>
    <w:rsid w:val="00F8214A"/>
    <w:rsid w:val="00F8351A"/>
    <w:rsid w:val="00F940BF"/>
    <w:rsid w:val="00FC0522"/>
    <w:rsid w:val="00FC23F4"/>
    <w:rsid w:val="00FC5524"/>
    <w:rsid w:val="00FD2707"/>
    <w:rsid w:val="00FD6208"/>
    <w:rsid w:val="00FE3889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6A88"/>
  <w15:docId w15:val="{6E276A15-A0FC-480C-9F54-F675291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304316"/>
    <w:pPr>
      <w:numPr>
        <w:numId w:val="1"/>
      </w:numPr>
      <w:spacing w:line="256" w:lineRule="auto"/>
      <w:contextualSpacing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3043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4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6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9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20CE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4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/>
</CtFieldPriority>
</file>

<file path=customXml/item3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38748f9a9154900b8a26f19217530ef xmlns="c0e75541-f54f-401c-9a34-cb7fded40982">
      <Terms xmlns="http://schemas.microsoft.com/office/infopath/2007/PartnerControls"/>
    </i38748f9a9154900b8a26f19217530ef>
    <OECDSharingStatus xmlns="bbc7a7a3-1361-4a32-9a19-e150eb4da2ba" xsi:nil="true"/>
    <OECDKimBussinessContext xmlns="54c4cd27-f286-408f-9ce0-33c1e0f3ab39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4.3.4 Territorial Development Policies</TermName>
          <TermId xmlns="http://schemas.microsoft.com/office/infopath/2007/PartnerControls">5ed491f9-3386-485a-af11-e45e3b6ab644</TermId>
        </TermInfo>
      </Terms>
    </eSharePWBTaxHTField0>
    <OECDlanguage xmlns="ca82dde9-3436-4d3d-bddd-d31447390034">English</OECDlanguage>
    <IconOverlay xmlns="http://schemas.microsoft.com/sharepoint/v4" xsi:nil="true"/>
    <OECDProjectLookup xmlns="bbc7a7a3-1361-4a32-9a19-e150eb4da2ba">79</OECDProjectLookup>
    <OECDMainProject xmlns="bbc7a7a3-1361-4a32-9a19-e150eb4da2ba">61</OECDMainProject>
    <OECDPinnedBy xmlns="bbc7a7a3-1361-4a32-9a19-e150eb4da2ba">
      <UserInfo>
        <DisplayName/>
        <AccountId xsi:nil="true"/>
        <AccountType/>
      </UserInfo>
    </OECDPinnedBy>
    <b5734379896a43bfa9844e286e5b2c8d xmlns="bbc7a7a3-1361-4a32-9a19-e150eb4da2ba" xsi:nil="true"/>
    <OECDExpirationDate xmlns="c0e75541-f54f-401c-9a34-cb7fded40982" xsi:nil="true"/>
    <OECDProjectManager xmlns="bbc7a7a3-1361-4a32-9a19-e150eb4da2ba">
      <UserInfo>
        <DisplayName/>
        <AccountId>345</AccountId>
        <AccountType/>
      </UserInfo>
    </OECDProjectManager>
    <OECDMeetingDate xmlns="54c4cd27-f286-408f-9ce0-33c1e0f3ab39" xsi:nil="true"/>
    <OECDTagsCache xmlns="bbc7a7a3-1361-4a32-9a19-e150eb4da2ba" xsi:nil="true"/>
    <eShareHorizProjTaxHTField0 xmlns="c0e75541-f54f-401c-9a34-cb7fded40982" xsi:nil="true"/>
    <eShareCommittee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Party on Rural Policy</TermName>
          <TermId xmlns="http://schemas.microsoft.com/office/infopath/2007/PartnerControls">a386795a-7d5b-403b-832d-22cb31693bbc</TermId>
        </TermInfo>
      </Terms>
    </eShareCommitteeTaxHTField0>
    <OECDYear xmlns="54c4cd27-f286-408f-9ce0-33c1e0f3ab39" xsi:nil="true"/>
    <OECDKimProvenance xmlns="54c4cd27-f286-408f-9ce0-33c1e0f3ab39" xsi:nil="true"/>
    <OECDProjectMembers xmlns="bbc7a7a3-1361-4a32-9a19-e150eb4da2ba">
      <UserInfo>
        <DisplayName>SANABRIA Andres, CFE/RDG</DisplayName>
        <AccountId>976</AccountId>
        <AccountType/>
      </UserInfo>
      <UserInfo>
        <DisplayName>BEAUMONT Saliha, CFE/RDG</DisplayName>
        <AccountId>1768</AccountId>
        <AccountType/>
      </UserInfo>
      <UserInfo>
        <DisplayName>RADERSCHALL Lisanne, CFE/RDG</DisplayName>
        <AccountId>1219</AccountId>
        <AccountType/>
      </UserInfo>
      <UserInfo>
        <DisplayName>SASAKI Mai, CFE/RDT</DisplayName>
        <AccountId>1121</AccountId>
        <AccountType/>
      </UserInfo>
      <UserInfo>
        <DisplayName>KRAWCHENKO Tamara, CFE/RDT</DisplayName>
        <AccountId>971</AccountId>
        <AccountType/>
      </UserInfo>
      <UserInfo>
        <DisplayName>PHILIP Pilar, ECO/FO</DisplayName>
        <AccountId>972</AccountId>
        <AccountType/>
      </UserInfo>
      <UserInfo>
        <DisplayName>MORENO MONROY Ana, CFE/EDS</DisplayName>
        <AccountId>1193</AccountId>
        <AccountType/>
      </UserInfo>
      <UserInfo>
        <DisplayName>TOSETTI Giulia, CFE/RDT</DisplayName>
        <AccountId>1879</AccountId>
        <AccountType/>
      </UserInfo>
      <UserInfo>
        <DisplayName>DUPEYRAS Alain, CFE/EST</DisplayName>
        <AccountId>99</AccountId>
        <AccountType/>
      </UserInfo>
      <UserInfo>
        <DisplayName>DUBOYS Jeanette, CFE/RDG</DisplayName>
        <AccountId>453</AccountId>
        <AccountType/>
      </UserInfo>
      <UserInfo>
        <DisplayName>GARCILAZO Jose Enrique, CFE/RDG</DisplayName>
        <AccountId>345</AccountId>
        <AccountType/>
      </UserInfo>
      <UserInfo>
        <DisplayName>BARBIERI Stefano, CFE/RDG</DisplayName>
        <AccountId>112</AccountId>
        <AccountType/>
      </UserInfo>
      <UserInfo>
        <DisplayName>MARSHALIAN Michelle, CFE/RDG</DisplayName>
        <AccountId>2498</AccountId>
        <AccountType/>
      </UserInfo>
      <UserInfo>
        <DisplayName>HITCHINGS Gareth, CFE/RDG</DisplayName>
        <AccountId>2513</AccountId>
        <AccountType/>
      </UserInfo>
      <UserInfo>
        <DisplayName>VYAS Jenny, CFE/RDG</DisplayName>
        <AccountId>2881</AccountId>
        <AccountType/>
      </UserInfo>
      <UserInfo>
        <DisplayName>BRYCE Betty-Ann, CFE/RDG</DisplayName>
        <AccountId>3208</AccountId>
        <AccountType/>
      </UserInfo>
      <UserInfo>
        <DisplayName>GATIGNOL Chloé, CFE/RDG</DisplayName>
        <AccountId>2722</AccountId>
        <AccountType/>
      </UserInfo>
      <UserInfo>
        <DisplayName>LEVEDAG Joséphine, CFE/RDG</DisplayName>
        <AccountId>3776</AccountId>
        <AccountType/>
      </UserInfo>
      <UserInfo>
        <DisplayName>NONOMURA Keizo, CFE/RDG</DisplayName>
        <AccountId>3097</AccountId>
        <AccountType/>
      </UserInfo>
      <UserInfo>
        <DisplayName>RAULT Anais, GOV/REG</DisplayName>
        <AccountId>4116</AccountId>
        <AccountType/>
      </UserInfo>
      <UserInfo>
        <DisplayName>MURAI Takato, CFE/RDG</DisplayName>
        <AccountId>4159</AccountId>
        <AccountType/>
      </UserInfo>
      <UserInfo>
        <DisplayName>FONBONNAT Monserrat, CFE/TOU</DisplayName>
        <AccountId>1787</AccountId>
        <AccountType/>
      </UserInfo>
      <UserInfo>
        <DisplayName>WINKELMAYER Felix, CFE/RDG</DisplayName>
        <AccountId>4072</AccountId>
        <AccountType/>
      </UserInfo>
      <UserInfo>
        <DisplayName>GREENHOW Leslie, CFE/RDG</DisplayName>
        <AccountId>1656</AccountId>
        <AccountType/>
      </UserInfo>
      <UserInfo>
        <DisplayName>DURAN Selin, CFE/RDG</DisplayName>
        <AccountId>4595</AccountId>
        <AccountType/>
      </UserInfo>
    </OECDProjectMembers>
    <fc991543b5234ffe9aadfa6c2c5f4ba5 xmlns="bbc7a7a3-1361-4a32-9a19-e150eb4da2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CFE/RDT</TermName>
          <TermId xmlns="http://schemas.microsoft.com/office/infopath/2007/PartnerControls">010c1019-468f-4783-81ab-828cbf7d2986</TermId>
        </TermInfo>
      </Terms>
    </fc991543b5234ffe9aadfa6c2c5f4ba5>
    <OECDCommunityDocumentURL xmlns="bbc7a7a3-1361-4a32-9a19-e150eb4da2ba" xsi:nil="true"/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Rural Development</TermName>
          <TermId xmlns="http://schemas.microsoft.com/office/infopath/2007/PartnerControls">0e180ea7-b694-4236-b103-a01331520b50</TermId>
        </TermInfo>
        <TermInfo xmlns="http://schemas.microsoft.com/office/infopath/2007/PartnerControls">
          <TermName xmlns="http://schemas.microsoft.com/office/infopath/2007/PartnerControls">Regional development</TermName>
          <TermId xmlns="http://schemas.microsoft.com/office/infopath/2007/PartnerControls">209366f0-6ff4-4153-9d7c-e97cdbd71699</TermId>
        </TermInfo>
        <TermInfo xmlns="http://schemas.microsoft.com/office/infopath/2007/PartnerControls">
          <TermName xmlns="http://schemas.microsoft.com/office/infopath/2007/PartnerControls">Regional competitiveness</TermName>
          <TermId xmlns="http://schemas.microsoft.com/office/infopath/2007/PartnerControls">b869c1c1-86b2-449c-b062-68f4cf3ec49d</TermId>
        </TermInfo>
      </Terms>
    </eShareTopicTaxHTField0>
    <eShareKeywordsTaxHTField0 xmlns="c9f238dd-bb73-4aef-a7a5-d644ad823e52">
      <Terms xmlns="http://schemas.microsoft.com/office/infopath/2007/PartnerControls"/>
    </eShareKeywordsTaxHTField0>
    <OECDCommunityDocumentID xmlns="bbc7a7a3-1361-4a32-9a19-e150eb4da2ba" xsi:nil="true"/>
    <OECDAllRelatedUsers xmlns="c0e75541-f54f-401c-9a34-cb7fded40982">
      <UserInfo>
        <DisplayName/>
        <AccountId xsi:nil="true"/>
        <AccountType/>
      </UserInfo>
    </OECDAllRelatedUsers>
    <TaxCatchAll xmlns="ca82dde9-3436-4d3d-bddd-d31447390034">
      <Value>457</Value>
      <Value>398</Value>
      <Value>421</Value>
      <Value>370</Value>
      <Value>142</Value>
      <Value>816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E623AE0B855E041B1290D0883742A68" ma:contentTypeVersion="51" ma:contentTypeDescription="" ma:contentTypeScope="" ma:versionID="a8bfb0bff60e7f00693a005c7677561d">
  <xsd:schema xmlns:xsd="http://www.w3.org/2001/XMLSchema" xmlns:xs="http://www.w3.org/2001/XMLSchema" xmlns:p="http://schemas.microsoft.com/office/2006/metadata/properties" xmlns:ns1="54c4cd27-f286-408f-9ce0-33c1e0f3ab39" xmlns:ns2="c0e75541-f54f-401c-9a34-cb7fded40982" xmlns:ns3="bbc7a7a3-1361-4a32-9a19-e150eb4da2ba" xmlns:ns5="c9f238dd-bb73-4aef-a7a5-d644ad823e52" xmlns:ns6="ca82dde9-3436-4d3d-bddd-d31447390034" xmlns:ns7="http://schemas.microsoft.com/sharepoint/v4" targetNamespace="http://schemas.microsoft.com/office/2006/metadata/properties" ma:root="true" ma:fieldsID="76464df44716d292dad5e4a334815210" ns1:_="" ns2:_="" ns3:_="" ns5:_="" ns6:_="" ns7:_="">
    <xsd:import namespace="54c4cd27-f286-408f-9ce0-33c1e0f3ab39"/>
    <xsd:import namespace="c0e75541-f54f-401c-9a34-cb7fded40982"/>
    <xsd:import namespace="bbc7a7a3-1361-4a32-9a19-e150eb4da2ba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6:OECDlanguage" minOccurs="0"/>
                <xsd:element ref="ns6:TaxCatchAll" minOccurs="0"/>
                <xsd:element ref="ns6:TaxCatchAllLabel" minOccurs="0"/>
                <xsd:element ref="ns1:OECDMeetingDate" minOccurs="0"/>
                <xsd:element ref="ns3:b5734379896a43bfa9844e286e5b2c8d" minOccurs="0"/>
                <xsd:element ref="ns2:i38748f9a9154900b8a26f19217530ef" minOccurs="0"/>
                <xsd:element ref="ns3:fc991543b5234ffe9aadfa6c2c5f4ba5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3:OECDTagsCache" minOccurs="0"/>
                <xsd:element ref="ns2:eShareHorizProjTaxHTField0" minOccurs="0"/>
                <xsd:element ref="ns2:OECDAllRelatedUsers" minOccurs="0"/>
                <xsd:element ref="ns3:SharedWithUsers" minOccurs="0"/>
                <xsd:element ref="ns7:IconOverlay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31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4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5541-f54f-401c-9a34-cb7fded40982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 ma:readOnly="false">
      <xsd:simpleType>
        <xsd:restriction base="dms:DateTime"/>
      </xsd:simpleType>
    </xsd:element>
    <xsd:element name="i38748f9a9154900b8a26f19217530ef" ma:index="33" nillable="true" ma:taxonomy="true" ma:internalName="i38748f9a9154900b8a26f19217530ef" ma:taxonomyFieldName="OECDHorizontalProjects" ma:displayName="Horizontal project" ma:readOnly="false" ma:default="" ma:fieldId="{238748f9-a915-4900-b8a2-6f19217530ef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0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1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a7a3-1361-4a32-9a19-e150eb4da2ba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96bfc537-3f4a-49f4-8bd3-4998d9b1134f" ma:internalName="OECDProjectLookup" ma:readOnly="false" ma:showField="OECDShortProjectName" ma:web="bbc7a7a3-1361-4a32-9a19-e150eb4da2ba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96bfc537-3f4a-49f4-8bd3-4998d9b1134f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5734379896a43bfa9844e286e5b2c8d" ma:index="32" nillable="true" ma:displayName="Deliverable owner_0" ma:hidden="true" ma:internalName="b5734379896a43bfa9844e286e5b2c8d">
      <xsd:simpleType>
        <xsd:restriction base="dms:Note"/>
      </xsd:simpleType>
    </xsd:element>
    <xsd:element name="fc991543b5234ffe9aadfa6c2c5f4ba5" ma:index="34" nillable="true" ma:taxonomy="true" ma:internalName="fc991543b5234ffe9aadfa6c2c5f4ba5" ma:taxonomyFieldName="OECDProjectOwnerStructure" ma:displayName="Project owner" ma:readOnly="false" ma:default="" ma:fieldId="fc991543-b523-4ffe-9aad-fa6c2c5f4ba5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5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6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37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39" nillable="true" ma:displayName="Tags cache" ma:description="" ma:hidden="true" ma:internalName="OECDTagsCache">
      <xsd:simpleType>
        <xsd:restriction base="dms:Note"/>
      </xsd:simple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27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" ma:index="29" nillable="true" ma:displayName="Taxonomy Catch All Column" ma:description="" ma:hidden="true" ma:list="{53561090-12f8-4042-a5cb-68ff0701e989}" ma:internalName="TaxCatchAll" ma:showField="CatchAllData" ma:web="c0e75541-f54f-401c-9a34-cb7fded4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53561090-12f8-4042-a5cb-68ff0701e989}" ma:internalName="TaxCatchAllLabel" ma:readOnly="true" ma:showField="CatchAllDataLabel" ma:web="c0e75541-f54f-401c-9a34-cb7fded4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Props1.xml><?xml version="1.0" encoding="utf-8"?>
<ds:datastoreItem xmlns:ds="http://schemas.openxmlformats.org/officeDocument/2006/customXml" ds:itemID="{50EBD14E-4269-4D5B-AE6A-802A1954C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4EE29-3145-4DFE-8353-1D4EF2FB401B}">
  <ds:schemaRefs>
    <ds:schemaRef ds:uri="http://www.oecd.org/eshare/projectsentre/CtFieldPriority/"/>
    <ds:schemaRef ds:uri="http://schemas.microsoft.com/2003/10/Serialization/Arrays"/>
  </ds:schemaRefs>
</ds:datastoreItem>
</file>

<file path=customXml/itemProps3.xml><?xml version="1.0" encoding="utf-8"?>
<ds:datastoreItem xmlns:ds="http://schemas.openxmlformats.org/officeDocument/2006/customXml" ds:itemID="{01D51625-09A7-4864-A0E8-156DA1B82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D1F21-38DF-4316-BD1C-A6082636AE8A}">
  <ds:schemaRefs>
    <ds:schemaRef ds:uri="http://schemas.microsoft.com/office/2006/metadata/properties"/>
    <ds:schemaRef ds:uri="http://schemas.microsoft.com/office/infopath/2007/PartnerControls"/>
    <ds:schemaRef ds:uri="c0e75541-f54f-401c-9a34-cb7fded40982"/>
    <ds:schemaRef ds:uri="bbc7a7a3-1361-4a32-9a19-e150eb4da2ba"/>
    <ds:schemaRef ds:uri="54c4cd27-f286-408f-9ce0-33c1e0f3ab39"/>
    <ds:schemaRef ds:uri="c9f238dd-bb73-4aef-a7a5-d644ad823e52"/>
    <ds:schemaRef ds:uri="ca82dde9-3436-4d3d-bddd-d31447390034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05F782A-8BDF-4AD7-B9AF-2F1F57E0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c0e75541-f54f-401c-9a34-cb7fded40982"/>
    <ds:schemaRef ds:uri="bbc7a7a3-1361-4a32-9a19-e150eb4da2ba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EF0EEE-D5B7-4DE5-A102-622F2A9C14E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863</Words>
  <Characters>5197</Characters>
  <Application>Microsoft Office Word</Application>
  <DocSecurity>0</DocSecurity>
  <Lines>120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SANABRIA Andres, CFE/RDG</dc:creator>
  <cp:keywords/>
  <dc:description/>
  <cp:lastModifiedBy>SANABRIA Andres, CFE/RDG</cp:lastModifiedBy>
  <cp:revision>171</cp:revision>
  <cp:lastPrinted>2024-04-04T15:38:00Z</cp:lastPrinted>
  <dcterms:created xsi:type="dcterms:W3CDTF">2024-05-12T09:25:00Z</dcterms:created>
  <dcterms:modified xsi:type="dcterms:W3CDTF">2024-06-11T14:40:00Z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74deaeeef252a31bf14313d1f636a7b88504dde5378ef82c9d2914634d35954f</vt:lpwstr>
  </property>
  <property fmtid="{D5CDD505-2E9C-101B-9397-08002B2CF9AE}" pid="3" name="OECDDocumentId">
    <vt:lpwstr>E1BF9C220B4A5506D2157515B4B6A034ED50803BA0573D0913755B3E33783551</vt:lpwstr>
  </property>
  <property fmtid="{D5CDD505-2E9C-101B-9397-08002B2CF9AE}" pid="4" name="OecdDocumentCoteLangHash">
    <vt:lpwstr/>
  </property>
  <property fmtid="{D5CDD505-2E9C-101B-9397-08002B2CF9AE}" pid="5" name="ContentTypeId">
    <vt:lpwstr>0x0101008B4DD370EC31429186F3AD49F0D3098F00D44DBCB9EB4F45278CB5C9765BE5299500A4858B360C6A491AA753F8BCA47AA910004E623AE0B855E041B1290D0883742A68</vt:lpwstr>
  </property>
  <property fmtid="{D5CDD505-2E9C-101B-9397-08002B2CF9AE}" pid="6" name="OECDHorizontalProjects">
    <vt:lpwstr/>
  </property>
  <property fmtid="{D5CDD505-2E9C-101B-9397-08002B2CF9AE}" pid="7" name="OECDProjectOwnerStructure">
    <vt:lpwstr>421;#CFE/RDT|010c1019-468f-4783-81ab-828cbf7d2986</vt:lpwstr>
  </property>
  <property fmtid="{D5CDD505-2E9C-101B-9397-08002B2CF9AE}" pid="8" name="OECDTopic">
    <vt:lpwstr>398;#Rural Development|0e180ea7-b694-4236-b103-a01331520b50;#142;#Regional development|209366f0-6ff4-4153-9d7c-e97cdbd71699;#816;#Regional competitiveness|b869c1c1-86b2-449c-b062-68f4cf3ec49d</vt:lpwstr>
  </property>
  <property fmtid="{D5CDD505-2E9C-101B-9397-08002B2CF9AE}" pid="9" name="OECDCommittee">
    <vt:lpwstr>370;#Working Party on Rural Policy|a386795a-7d5b-403b-832d-22cb31693bbc</vt:lpwstr>
  </property>
  <property fmtid="{D5CDD505-2E9C-101B-9397-08002B2CF9AE}" pid="10" name="OECDPWB">
    <vt:lpwstr>457;#4.3.4 Territorial Development Policies|5ed491f9-3386-485a-af11-e45e3b6ab644</vt:lpwstr>
  </property>
  <property fmtid="{D5CDD505-2E9C-101B-9397-08002B2CF9AE}" pid="11" name="OECDKeywords">
    <vt:lpwstr/>
  </property>
  <property fmtid="{D5CDD505-2E9C-101B-9397-08002B2CF9AE}" pid="12" name="eShareOrganisationTaxHTField0">
    <vt:lpwstr/>
  </property>
  <property fmtid="{D5CDD505-2E9C-101B-9397-08002B2CF9AE}" pid="13" name="d0b6f6ac229144c2899590f0436d9385">
    <vt:lpwstr/>
  </property>
  <property fmtid="{D5CDD505-2E9C-101B-9397-08002B2CF9AE}" pid="14" name="OECDProject">
    <vt:lpwstr/>
  </property>
  <property fmtid="{D5CDD505-2E9C-101B-9397-08002B2CF9AE}" pid="15" name="OECDOrganisation">
    <vt:lpwstr/>
  </property>
  <property fmtid="{D5CDD505-2E9C-101B-9397-08002B2CF9AE}" pid="16" name="OECDCountry">
    <vt:lpwstr/>
  </property>
</Properties>
</file>